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ATAS/999/2022 vom 11. November 2022</w:t>
      </w:r>
    </w:p>
    <w:p>
      <w:r>
        <w:t>GE Cour de justice, 2022-11-11, FR</w:t>
      </w:r>
    </w:p>
    <w:p>
      <w:r>
        <w:rPr>
          <w:b/>
        </w:rPr>
        <w:t xml:space="preserve">Quelle: </w:t>
      </w:r>
      <w:r>
        <w:t>https://mcp.opencaselaw.ch/entscheid/ge_gerichte_ATAS_999_2022</w:t>
      </w:r>
    </w:p>
    <w:p>
      <w:r>
        <w:t>FR: GE_GERICHTE ATAS/999/2022 du 11 novembre 2022</w:t>
      </w:r>
    </w:p>
    <w:p>
      <w:r>
        <w:t>IT: GE_GERICHTE ATAS/999/2022 del 11 novembre 2022</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dans la forme et le délai de trente jours prévus par la loi, l'acte de recours est recevable (art. 56 ss LPGA et 62 ss de la loi sur la procédure administrative du 12 septembre 1985 [LPA - E 5 10]).</w:t>
      </w:r>
    </w:p>
    <w:p>
      <w:r>
        <w:rPr>
          <w:b/>
        </w:rPr>
        <w:t>E. 2</w:t>
      </w:r>
    </w:p>
    <w:p>
      <w:r>
        <w:t>Le litige porte sur le bien-fondé de la suspension du droit à l'indemnité de chômage de trois jours pour inobservation d’instructions de l’ORP.</w:t>
      </w:r>
    </w:p>
    <w:p>
      <w:r>
        <w:rPr>
          <w:b/>
        </w:rPr>
        <w:t>E. 3.1</w:t>
      </w:r>
    </w:p>
    <w:p>
      <w:r>
        <w:t>L'art. 8 LACI énumère les conditions d'octroi de l'indemnité de chômage. Conformément à l'art. 8 al. 1 LACI, l'assuré doit, pour bénéficier de cette prestation prévue par l'art. 7 al. 2 let. a LACI, être sans emploi ou partiellement sans emploi (let. a), avoir subi une perte de travail à prendre en considération (let. b), être domicilié en Suisse (let. c), avoir achevé sa scolarité obligatoire et n'avoir pas encore atteint l'âge donnant droit à une rente AVS et ne pas toucher de rente de vieillesse de l'AVS (let. d), remplir les conditions relatives à la période de cotisation ou en être libéré (let. e), être apte au placement (let. f) et satisfaire aux exigences de contrôle (let. g).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et doctrine et jurisprudence citées) - par les instructions édictées par le SECO en sa qualité d'autorité de surveillance de l'assurance-chômage chargée d'assurer une application uniforme du droit (art. 110 LACI), notamment par le biais du Bulletin relatif à l'indemnité de chômage (Bulletin LACI IC).</w:t>
      </w:r>
    </w:p>
    <w:p>
      <w:r>
        <w:t>A/451/2022 - 4/6 - La condition de satisfaire aux exigences du contrôle, posée par l'art. 8 al. 1 let. g LACI, renvoie aux devoirs de l'assuré et prescriptions de contrôle prévus par l'art. 17 LACI. Les al. 1 à 3 de cette disposition-ci imposent aux chômeurs des devoirs matériels, qui concernent la recherche et l'acceptation d'un emploi, ainsi que la participation aux mesures de marché du travail et aux séances et entretiens obligatoires, ainsi que des devoirs formels, qui ont pour objet l'inscription au chômage et la revendication régulière des prestations au moyen de formules officielles (Boris RUBIN, Commentaire de la loi sur l'assurance-chômage, 2014 [ci-après : Commentaire], n. 1 ad art. 17 LACI).</w:t>
      </w:r>
    </w:p>
    <w:p>
      <w:r>
        <w:rPr>
          <w:b/>
        </w:rPr>
        <w:t>E. 3.2</w:t>
      </w:r>
    </w:p>
    <w:p>
      <w:r>
        <w:t>En vertu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Il est tenu d'accepter tout travail convenable qui lui est proposé (al. 3 1ère phr.). La violation des obligations que l'art. 17 LACI impose à l'assuré expose ce dernier à une suspension de son droit à l'indemnité.</w:t>
      </w:r>
    </w:p>
    <w:p>
      <w:r>
        <w:rPr>
          <w:b/>
        </w:rPr>
        <w:t>E. 3.3</w:t>
      </w:r>
    </w:p>
    <w:p>
      <w:r>
        <w:t>Aux termes de l'art. 30 al. 1 LACI, le droit de l'assuré à l'indemnité est suspendu entre autres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La durée de la suspension est proportionnelle à la gravité de la faute et ne peut excéder, par motif de suspension, 60 jours, et dans le cas de l'al. 1 let. g, 25 jours (art. 30 al. 3 LACI ; arrêt du Tribunal fédéral des assurances C 254/06 du 26 novembre 2007 consid. 5.3). Le conseil fédéral peut prescrire une durée minimale pour la suspension (art. 30 al. 3bis LACI). En vertu de l'art. 45 al. 3 OACI, elle est de 1 à 15 jours en cas de faute légère, de 16 à 30 jours en cas de faute de gravité moyenne et de 31 à 60 jours en cas de faute grave. Selon le barème du SECO, lorsque l'assuré n'observe pas les instructions de l'OCE, l'autorité doit lui infliger une sanction de 3 à 10 jours lors du premier manquement et de 10 jours au minimum lors du second manquement, un renvoi pour décision à l'autorité cantonale étant prévu en cas de troisième manquement (Bulletin LACI IC / D79 ch. 3B). La présence d'antécédents permet de retenir la faute grave, même pour des manquements qui, pris isolément, relèveraient de la faute moyenne ou de la faute légère (Boris RUBIN, op. cit., ch. 114 et</w:t>
      </w:r>
    </w:p>
    <w:p>
      <w:r>
        <w:t>A/451/2022 - 5/6 - 120 ad art. 30). Par ailleurs, des antécédents remontant à moins de deux ans justifient une prolongation de la durée de suspension (art. 45 al. 5 OACI). La quotité de la suspension du droit à l'indemnité de chômage dans un cas concret constitue une question relevant du pouvoir d'appréciation (arrêt du Tribunal fédéral 8C 194/2013 du 26 septembre 2013 consid. 5.2). Le pouvoir d’examen de la chambre de céans n’est pas limité à la violation du droit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8C_758/2017 du 19 octobre 2018 consid. 4.3 ; Boris RUBIN, op. cit., n. 110 ad art. 30)..</w:t>
      </w:r>
    </w:p>
    <w:p>
      <w:r>
        <w:rPr>
          <w:b/>
        </w:rPr>
        <w:t>E. 4</w:t>
      </w:r>
    </w:p>
    <w:p>
      <w:r>
        <w:t>En l'espèce, il n’est pas contesté que la recourante a adressé sa candidature pour le poste assigné par l’ORP avec un jour de retard. Les explications de la recourante, selon lesquelles elle était en période de séparation avec le père de ses enfants, ne constituent pas un motif justifiant valablement son manquement. Le principe de la faute doit partant être admis. S'agissant de la quotité de suspension, force est de constater que celle-ci correspond au minimum fixé par le barème du SECO. Il n’y a aucune raison de s’en écarter. Ainsi que l’a relevé l’autorité intimée, il n’est pas possible de prendre en considération la situation financière d’un assuré pour diminuer la quotité de la sanction. La décision querellée doit ainsi être confirmée et le recours rejeté.</w:t>
      </w:r>
    </w:p>
    <w:p>
      <w:r>
        <w:rPr>
          <w:b/>
        </w:rPr>
        <w:t>E. 5</w:t>
      </w:r>
    </w:p>
    <w:p>
      <w:r>
        <w:t>La procédure est gratuite (art. 61 let. fbis a contrario LPGA).</w:t>
      </w:r>
    </w:p>
    <w:p>
      <w:r>
        <w:t>******</w:t>
      </w:r>
    </w:p>
    <w:p>
      <w:r>
        <w:t>A/451/2022 - 6/6 -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