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ATAS/999/2015 vom 21. Dezember 2015</w:t>
      </w:r>
    </w:p>
    <w:p>
      <w:r>
        <w:t>GE Cour de justice, 2015-12-21, FR</w:t>
      </w:r>
    </w:p>
    <w:p>
      <w:r>
        <w:rPr>
          <w:b/>
        </w:rPr>
        <w:t xml:space="preserve">Quelle: </w:t>
      </w:r>
      <w:r>
        <w:t>https://mcp.opencaselaw.ch/entscheid/ge_gerichte_ATAS_999_2015</w:t>
      </w:r>
    </w:p>
    <w:p>
      <w:r>
        <w:t>FR: GE_GERICHTE ATAS/999/2015 du 21 décembre 2015</w:t>
      </w:r>
    </w:p>
    <w:p>
      <w:r>
        <w:t>IT: GE_GERICHTE ATAS/999/2015 del 21 dicembre 2015</w:t>
      </w:r>
    </w:p>
    <w:p>
      <w:pPr>
        <w:pStyle w:val="Heading2"/>
      </w:pPr>
      <w:r>
        <w:t>Erwägungen</w:t>
      </w:r>
    </w:p>
    <w:p>
      <w:r>
        <w:rPr>
          <w:b/>
        </w:rPr>
        <w:t>E. 22</w:t>
      </w:r>
    </w:p>
    <w:p>
      <w:r>
        <w:t>Par pli du 23 février 2015, la chambre de céans a invité le Dr K______ à lui indiquer si l’intervention de capsulotomie lui paraissait possible et, le cas échéant, quel serait son effet sur la capacité de travail.</w:t>
      </w:r>
    </w:p>
    <w:p>
      <w:r>
        <w:rPr>
          <w:b/>
        </w:rPr>
        <w:t>E. 23</w:t>
      </w:r>
    </w:p>
    <w:p>
      <w:r>
        <w:t>Le recourant a transmis à la chambre de céans un rapport subséquent du Dr K______, daté du 27 février 2015. Son patient avait perdu la vue du côté droit et souffrait d’une légère opacification de la capsule postérieure de l’œil gauche. L’acuité visuelle de l’œil gauche était de 0.7. Un traitement lui paraissait contre- indiqué en raison de zones dégénératives périphériques et d’un fort risque de décollement de rétine lié aux tractions vitréo-rétiniennes qu’engendrerait une intervention au laser. Si la rétine de l’œil gauche se décollait, l’assuré deviendrait aveugle.</w:t>
      </w:r>
    </w:p>
    <w:p>
      <w:r>
        <w:rPr>
          <w:b/>
        </w:rPr>
        <w:t>E. 24</w:t>
      </w:r>
    </w:p>
    <w:p>
      <w:r>
        <w:t>Par écritures du 24 mars 2015, l’intimé a maintenu ses conclusions en rejet. Il a fait valoir que l’opacification de l’œil gauche avait été signalée par la Dresse J______ pour la première fois le 26 novembre 2014, postérieurement à la décision litigieuse, de sorte qu’elle excédait l’objet du litige. Il a joint un nouvel avis du SMR, confirmant une fois de plus son appréciation.</w:t>
      </w:r>
    </w:p>
    <w:p>
      <w:r>
        <w:rPr>
          <w:b/>
        </w:rPr>
        <w:t>E. 25</w:t>
      </w:r>
    </w:p>
    <w:p>
      <w:r>
        <w:t>Par pli du 25 avril 2015, le recourant a persisté dans son argumentation.</w:t>
      </w:r>
    </w:p>
    <w:p>
      <w:r>
        <w:rPr>
          <w:b/>
        </w:rPr>
        <w:t>E. 26</w:t>
      </w:r>
    </w:p>
    <w:p>
      <w:r>
        <w:t>Cette écriture a été transmise pour information à l’intimé le 28 avril 2015. Il ne s’est pas déterminé.</w:t>
      </w:r>
    </w:p>
    <w:p>
      <w:r>
        <w:rPr>
          <w:b/>
        </w:rPr>
        <w:t>E. 27</w:t>
      </w:r>
    </w:p>
    <w:p>
      <w:r>
        <w:t>Sur quoi, la cause a été gardée à juger.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A/3165/2014 - 6/13 - 2. La LPGA, entrée en vigueur le 1er janvier 2003, est applicable à la présente procédure. 3. Le délai de recours est de 30 jours (art. 60 al. 1 LPGA). Interjeté dans la forme et le délai prévus par la loi, le recours est recevable (art. 56 à 61 LPGA). 4. Le litige porte sur le droit du recourant à une rente d’invalidité. 5.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L’assuré a droit à une rente lorsqu’il a présenté une incapacité de travail (art. 6 LPGA) d’au moins 40% en moyenne durant une année sans interruption notable et qu’au terme de cette année, il est invalide (art. 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Selon l’art. 29 al. 1 LAI, le droit à la rente prend naissance au plus tôt à l'échéance d'une période de six mois à compter de la date à laquelle l'assuré a fait valoir son droit aux prestations conformément à l'art. 29 al. 1 LPGA, mais pas avant le mois qui suit le 18ème anniversaire de l'assuré. En d'autres termes, l’assuré n'a droit à l'intégralité des prestations que s’il a présenté sa demande dans le délai de six mois</w:t>
      </w:r>
    </w:p>
    <w:p>
      <w:r>
        <w:t>A/3165/2014 - 7/13 - à partir de la survenance de l'incapacité de gain. S’il le fait plus tard, il perd son droit pour chaque mois de retard (arrêt du Tribunal fédéral 9C_432/2012 du 31 août 2012 consid. 3.3 ; Michel VALTERIO, Droit de l’assurance-vieillesse et survivants (AVS) et de l’assurance-invalidité (AI) – Commentaire thématique, 2011, n°2187 ss). 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(ATFA non publié I 43/05 du 30 juin 2006 consid. 5.2 et I 1/03 du 15 avril 2003 consid. 5.2).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A/3165/2014 - 8/13 -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Cela étant, on ne peut se fonder sur une appréciation du SMR que si celle-ci remplit les conditions relatives à la valeur probante des rapports médicaux. Il faut en particulier qu’elle prenne en compte l’anamnèse, décrive la situation médicale et ses conséquences, et que ses conclusions soient motivées. Les médecins du SMR doivent également disposer des qualifications personnelles et professionnelles requises par le cas (ATF 125 V 351 ; arrêt du Tribunal fédéral 9C_323/2009 consid. 4.3.1 et les références citées). Il convient en général de se montrer réservé par rapport à une appréciation médicale telle que celle rendue par le SMR, dès lors qu'elle ne repose pas sur des observations cliniques auxquelles l'un de ses médecins aurait personnellement procédé, mais sur une appréciation fondée exclusivement</w:t>
      </w:r>
    </w:p>
    <w:p>
      <w:r>
        <w:t>A/3165/2014 - 9/13 - sur les informations versées au dossier (arrêt du Tribunal fédéral 9C_ 578/2009 du</w:t>
      </w:r>
    </w:p>
    <w:p>
      <w:r>
        <w:rPr>
          <w:b/>
        </w:rPr>
        <w:t>E. 29</w:t>
      </w:r>
    </w:p>
    <w:p>
      <w:r>
        <w:t>décembre 2009 consid. 3.2 in fine).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10.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8C_364/2007 du 19 novembre 2007 consid. 3.2). Dans la conduite de la procédure, l'assureur dispose d'un large pouvoir d'appréciation en ce qui concerne la nécessité, l'étendue et l'adéquation de recueillir des données médicales (arrêt du Tribunal fédéral 8C_667/2012 du 12 juin 2013 consid. 4.1). b.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d.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w:t>
      </w:r>
    </w:p>
    <w:p>
      <w:r>
        <w:t>A/3165/2014 - 10/13 -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11. Il n’y a pas lieu de revenir sur la méthode d’évaluation de l’invalidité et le statut d’actif retenus dans la décision litigieuse, lesquels ne sont pas contestés par le recourant. 12. En revanche, il convient d’examiner sa capacité de travail et, pour ce faire, d’examiner la valeur probante des rapports versés au dossier. Dans un rapport du 11 août 2014, complétant un rapport de synthèse du 27 novembre 2013, la Dresse I______, médecin auprès du SMR, a conclu que l'assuré disposait d’une capacité de travail de 70% dans toute activité impliquant l’usage d’un ordinateur – y compris son activité habituelle de comptable - et de 100% dans toute autre activité ne nécessitant ni efforts visuels, ni vision binoculaire. Le recourant conteste implicitement la valeur probante de ce rapport, qui ne tiendrait notamment pas compte de douleurs lombaires consécutives à un accident survenu en 1974. Il reproche également à l’intimé d’avoir insuffisamment instruit son dossier en renonçant à ordonner un examen médical. 13. En l’espèce, les rapports de synthèse établis par le SMR ne reposent pas sur des observations cliniques auxquelles ses médecins auraient personnellement procédé, mais exclusivement sur le dossier et sur un entretien téléphonique avec la Dresse H______. Force est de constater que ces rapports succincts ne répondent pas aux réquisits jurisprudentiels relatifs à la valeur probante. En effet, ils n’exposent pratiquement pas l’anamnèse du cas et se fondent sur des conclusions de la Dresse L______ qui ne sont pas motivées : cette dernière n’explique pas pourquoi elle chiffre à 30% l’incapacité de travail dans l’activité habituelle, et n’indique pas si ce taux résulte d’une diminution de rendement ou repose sur d’autres considérations. De surcroît, on rappellera qu’avant son entretien téléphonique avec le SMR, la Dresse L______ avait préconisé la mise en œuvre d’une expertise administrative et indiqué à deux reprises qu’elle n’était pas en mesure de se prononcer sur la capacité de travail car l’intimé ne lui avait pas fourni de « tableau des barèmes d’incapacité</w:t>
      </w:r>
    </w:p>
    <w:p>
      <w:r>
        <w:t>A/3165/2014 - 11/13 - de travail ». C’est avec légèreté que l’intimé a repris telles quelles et sans plus ample instruction les conclusions de cette ophtalmologue, dans la mesure où elle avait expressément fait part de ses difficultés pour se déterminer. Une certaine réserve s’imposait d’autant plus que ses déclarations trahissaient une méconnaissance de la notion d’incapacité de travail. Il ne lui incombait en effet pas de chiffrer cette incapacité de manière abstraite sur la base d’un barème, mais au contraire, de déterminer concrètement et d’un point de vue médical si l’assuré était incapable d’exercer son activité habituelle de comptable, le cas échéant à quel taux. On précisera que l’exercice d’une activité relevant d’un autre domaine d’activité n’est pas considéré comme exigible par l’intimé, vu l’âge avancé du recourant. Partant, une pleine valeur probante ne peut être reconnue aux conclusions de la Dresse H______ et aux rapports de synthèse du SMR. Figurent également au dossier deux rapports des 12 avril 2013 et 7 janvier 2014 du Dr D______, concluant à une incapacité de travail de 30% dans toute activité, taux qui correspondrait selon lui au « pourcentage standard » pour la perte d’un œil. Ce médecin généraliste se réfère implicitement au barème figurant à l’annexe 3 de l’ordonnance sur l’assurance-accidents [OLAA - RS 832.202], prévoyant que l’indemnité pour atteinte à l’intégrité due en cas de perte de la vue d’un côté s’élève à 30% du gain assuré. Comme le relève à juste titre l’intimé, c’est à tort que le Dr D______ s’est fondé sur ce barème, car il lui appartenait de se prononcer sur l’existence d’une éventuelle incapacité de travail, notion qui n’a aucun rapport avec l’indemnité pour atteinte à l’intégrité au sens de l’art. 24 al. 1 LAA. Cela étant, la chambre de céans ne se fondera pas, à l’instar de l’intimé, sur les conclusions du Dr D______. 14. Pour les motifs qui précèdent, la chambre de céans estime que la cause est insuffisamment instruite, de sorte qu’elle n’est pas en mesure de statuer définitivement sur la capacité de travail et son évolution, partant sur le degré d’invalidité et le droit à la rente, ce d’autant moins que les derniers rapports des Drs J______ et K______ suggèrent une possible aggravation, non datée, des atteintes oculaires de l’assuré, vu l’opacification attestée de son œil gauche et la diminution de son acuité visuelle de 0.9 à 0.7. 15. En revanche, contrairement à ce que laisse entendre l’assuré, le dossier ne contient pas d’indice qui justifierait d’approfondir l’instruction s’agissant des douleurs lombaires dont il se prévaut et qui résulteraient de son accident de 1974. En effet, dans sa demande de prestations déposée en 2013, le recourant n’a pas fait état d’autres atteintes que ses problèmes de vue. En outre, bien qu’il ait été invité par l’intimé à le faire, le recourant n’a pas été en mesure de produire un quelconque rapport médical faisant état d’une limitation de la capacité de travail en lien avec des problèmes lombaires. Enfin, le recourant a été capable, suite à un reclassement professionnel visant précisément à lui offrir une activité adaptée à ses douleurs séquellaires, de travailler pendant plus de douze ans (de 1978 à 1991) pour diverses</w:t>
      </w:r>
    </w:p>
    <w:p>
      <w:r>
        <w:t>A/3165/2014 - 12/13 - banques genevoises, apparemment à 100% la plupart du temps au vu des revenus figurant dans son extrait de compte individuel AVS. Il paraît donc fort vraisemblable que ses douleurs ne l’empêcheraient pas d’exercer une activité de même nature que celle qu’il a exercée pendant douze ans. 16. En définitive, le recours sera partiellement admis, la décision du 13 octobre 2014 annulée et la cause renvoyée à l’OAI pour instruction complémentaire, étant rappelé qu’il n’appartient pas au juge de suppléer aux carences de l’administration. Cette instruction complémentaire sera mise en œuvre par une expertise en ophtalmologie confiée à un expert indépendant, selon la procédure prévue à l’art. 44 LPGA. L’expert se prononcera sur la capacité de travail et son évolution, en tenant compte de l’ensemble des rapports médicaux versés au dossier, y compris ceux produits par le recourant à l’appui de son recours. 17. La procédure de recours en matière de contestation portant sur l’octroi ou le refus de prestations de l’assurance-invalidité étant soumise à des frais de justice, un émolument de CHF 200.- est mis à charge de l’intimé (art. 69 al. 1 bis LAI).</w:t>
      </w:r>
    </w:p>
    <w:p>
      <w:r>
        <w:t>A/3165/2014 - 13/13 -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