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ATAS/998/2023 vom 18. Dezember 2023</w:t>
      </w:r>
    </w:p>
    <w:p>
      <w:r>
        <w:t>GE Cour de justice, 2023-12-18, FR</w:t>
      </w:r>
    </w:p>
    <w:p>
      <w:r>
        <w:rPr>
          <w:b/>
        </w:rPr>
        <w:t xml:space="preserve">Quelle: </w:t>
      </w:r>
      <w:r>
        <w:t>https://mcp.opencaselaw.ch/entscheid/ge_gerichte_ATAS_998_2023</w:t>
      </w:r>
    </w:p>
    <w:p>
      <w:r>
        <w:t>FR: GE_GERICHTE ATAS/998/2023 du 18 décembre 2023</w:t>
      </w:r>
    </w:p>
    <w:p>
      <w:r>
        <w:t>IT: GE_GERICHTE ATAS/998/2023 del 18 dicembre 2023</w:t>
      </w:r>
    </w:p>
    <w:p>
      <w:pPr>
        <w:pStyle w:val="Heading2"/>
      </w:pPr>
      <w:r>
        <w:t>Erwägungen</w:t>
      </w:r>
    </w:p>
    <w:p>
      <w:r>
        <w:rPr>
          <w:b/>
        </w:rPr>
        <w:t>E. 1</w:t>
      </w:r>
    </w:p>
    <w:p>
      <w:r>
        <w:t>Conformément à l’art. 134 al. 1 let. a ch. 2 de la loi sur l’organisation judiciaire, du 26 septembre 2010 (LOJ - E 2 05), la chambre des assurances sociales de la Cour</w:t>
      </w:r>
    </w:p>
    <w:p>
      <w:r>
        <w:t>A/43/2021 - 8/26 -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2021 est entrée en vigueur la modification du 21 juin 2019 de la LPGA. Dans la mesure où le recours a été interjeté postérieurement au 1er janvier 2021, il est soumis au nouveau droit (cf. art. 82a LPGA a contrario).</w:t>
      </w:r>
    </w:p>
    <w:p>
      <w:r>
        <w:rPr>
          <w:b/>
        </w:rPr>
        <w:t>E. 4</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les faits juridiquement déterminants se sont produits antérieurement au 1er janvier 2022, de sorte que les dispositions légales applicables seront citées dans leur ancienne teneur.</w:t>
      </w:r>
    </w:p>
    <w:p>
      <w:r>
        <w:rPr>
          <w:b/>
        </w:rPr>
        <w:t>E. 5</w:t>
      </w:r>
    </w:p>
    <w:p>
      <w:r>
        <w:t>Le délai de recours est de 30 jours (art. 56 LPGA ; art. 62 al. 1 de la loi sur la procédure administrative du 12 septembre 1985 [LPA - E 5 10]). Interjeté dans la forme et le délai prévus par la loi, le recours est recevable.</w:t>
      </w:r>
    </w:p>
    <w:p>
      <w:r>
        <w:rPr>
          <w:b/>
        </w:rPr>
        <w:t>E. 6</w:t>
      </w:r>
    </w:p>
    <w:p>
      <w:r>
        <w:t>Le litige porte sur le bien-fondé de la décision de l’OAI du 24 novembre 2020, singulièrement sur le refus de mesures de réadaptation et sur l’octroi d’une rente invalidité.</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 quarts de rente s'il est invalide à 60% au moins, à une</w:t>
      </w:r>
    </w:p>
    <w:p>
      <w:r>
        <w:t>A/43/2021 - 9/26 -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8.1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des assurances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ATF 141 V 281 consid. 2.1 et 2.1.1 ; ATF 130 V 396 consid. 5.3 et 6).</w:t>
      </w:r>
    </w:p>
    <w:p>
      <w:r>
        <w:rPr>
          <w:b/>
        </w:rPr>
        <w:t>E. 8.2</w:t>
      </w:r>
    </w:p>
    <w:p>
      <w:r>
        <w:t>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w:t>
      </w:r>
    </w:p>
    <w:p>
      <w:r>
        <w:t>A/43/2021 - 10/26 -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ATF 132 V 65 consid. 4.2.2 ; arrêt du Tribunal fédéral 9C_16/2016 du 14 juin 2016 consid. 3.2).</w:t>
      </w:r>
    </w:p>
    <w:p>
      <w:r>
        <w:rPr>
          <w:b/>
        </w:rPr>
        <w:t>E. 8.3</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w:t>
      </w:r>
    </w:p>
    <w:p>
      <w:r>
        <w:rPr>
          <w:b/>
        </w:rPr>
        <w:t>E. 8.4</w:t>
      </w:r>
    </w:p>
    <w:p>
      <w:r>
        <w:t>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 consid. 4.3 et la référence ; arrêt du Tribunal fédéral 9C_724/2018 du 11 juillet 2019 consid. 7). En l’absence d’un diagnostic psychiatrique, une telle appréciation n’a pas non plus à être effectuée (arrêt du Tribunal fédéral 9C_176/2018 du 16 août 2018 consid. 3.2.2).</w:t>
      </w:r>
    </w:p>
    <w:p>
      <w:r>
        <w:rPr>
          <w:b/>
        </w:rPr>
        <w:t>E. 9</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w:t>
      </w:r>
    </w:p>
    <w:p>
      <w:r>
        <w:t>A/43/2021 - 11/26 -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À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 3. Comorbidités La présence de comorbidités ou troubles concomitants est un indicateur à prendre en considération en relation avec le degré de gravité fonctionnel (arrêt du Tribunal</w:t>
      </w:r>
    </w:p>
    <w:p>
      <w:r>
        <w:t>A/43/2021 - 12/26 - fédéral 9C_650/2019 du 11 mai 2020 consid. 3.3 et la référence). On ne saurait toutefois inférer la réalisation concrète de l'indicateur « comorbidité »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la référence). Il est nécessaire de procéder à une approche globale de l’influence du trouble avec l’ensemble des pathologies concomitantes. Une atteinte qui, selon la jurisprudence, ne peut pas être invalidante en tant que telle (cf. ATF 141 V 281 consid. 4.3.1.2 ;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 cf. ATF 141 V 281 consid. 4.3.2). Étant donné que l’évaluation de la personnalité est davantage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w:t>
      </w:r>
    </w:p>
    <w:p>
      <w:r>
        <w:t>A/43/2021 - 13/26 -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À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w:t>
      </w:r>
    </w:p>
    <w:p>
      <w:r>
        <w:t>A/43/2021 - 14/26 -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w:t>
      </w:r>
    </w:p>
    <w:p>
      <w:r>
        <w:rPr>
          <w:b/>
        </w:rPr>
        <w:t>E. 10</w:t>
      </w:r>
    </w:p>
    <w:p>
      <w:r>
        <w:t>Dans l'ATF 143 V 409 consid. 4.2, le Tribunal fédéral a rappelé que le fait qu'une atteinte à la santé psychique puisse être influencée par un traitement ne suffit pas, à lui seul, pour nier le caractère invalidant de celle-ci ; la question déterminante est en effet celle de savoir si la limitation établie médicalement empêche, d'un point de vue objectif, la personne assurée d'effectuer une prestation de travail. À cet égard, toutes les affections psychiques doivent en principe faire l'objet d'une procédure probatoire structurée au sens de l'ATF 141 V 281 (ATF 143 V 418 consid. 6 et 7 et les références). Ainsi, le caractère invalidant des 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Le Tribunal fédéral a récemment rappelé qu’en principe, seul un trouble psychique grave peut avoir un caractère invalidant. Un trouble dépressif de degré léger à moyen, sans interférence notable avec des comorbidités psychiatriques, ne peut</w:t>
      </w:r>
    </w:p>
    <w:p>
      <w:r>
        <w:t>A/43/2021 - 15/26 -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w:t>
      </w:r>
    </w:p>
    <w:p>
      <w:r>
        <w:rPr>
          <w:b/>
        </w:rPr>
        <w:t>E. 11</w:t>
      </w:r>
    </w:p>
    <w:p>
      <w:r>
        <w:t>Des traits de personnalité signifient que les symptômes constatés ne sont pas suffisants pour retenir l’existence d’un trouble spécifique de la personnalité. Ils n'ont, en principe, pas valeur de maladie psychiatrique et ne peuvent, en principe, fonder une incapacité de travail en droit des assurances au sens des art. 4 al. 1 LAI et 8 LPGA (arrêt du Tribunal fédéral 9C_369/2019 du 17 mars 2020 consid. 5.3 et les références).</w:t>
      </w:r>
    </w:p>
    <w:p>
      <w:r>
        <w:rPr>
          <w:b/>
        </w:rPr>
        <w:t>E. 12.1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w:t>
      </w:r>
    </w:p>
    <w:p>
      <w:r>
        <w:rPr>
          <w:b/>
        </w:rPr>
        <w:t>E. 12.2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w:t>
      </w:r>
    </w:p>
    <w:p>
      <w:r>
        <w:t>A/43/2021 - 16/26 - les conclusions de l'expert soient bien motivées (ATF 134 V 231 consid. 5.1 ; ATF 133 V 450 consid. 11.1.3 ; ATF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w:t>
      </w:r>
    </w:p>
    <w:p>
      <w:r>
        <w:rPr>
          <w:b/>
        </w:rPr>
        <w:t>E. 12.3</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ATF 135 V 465 consid. 4.4. et les références ; ATF 125 V 351 consid. 3b/aa et les références).</w:t>
      </w:r>
    </w:p>
    <w:p>
      <w:r>
        <w:rPr>
          <w:b/>
        </w:rPr>
        <w:t>E. 12.4</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ATF 142 V 58 consid. 5.1 et les références ; ATF 139 V 225 consid. 5.2 et les références ; ATF 135 V 465 consid. 4.4 et les références). En effet, si la jurisprudence a reconnu la valeur probante des rapports médicaux des médecins- conseils, elle a souligné qu'ils n'avaient pas la même force probante qu'une</w:t>
      </w:r>
    </w:p>
    <w:p>
      <w:r>
        <w:t>A/43/2021 - 17/26 -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ATF 135 V 465 consid. 4).</w:t>
      </w:r>
    </w:p>
    <w:p>
      <w:r>
        <w:rPr>
          <w:b/>
        </w:rPr>
        <w:t>E. 12.5</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w:t>
      </w:r>
    </w:p>
    <w:p>
      <w:r>
        <w:rPr>
          <w:b/>
        </w:rPr>
        <w:t>E. 12.6</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12.7</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w:t>
      </w:r>
    </w:p>
    <w:p>
      <w:r>
        <w:t>A/43/2021 - 18/26 -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13</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14.1</w:t>
      </w:r>
    </w:p>
    <w:p>
      <w:r>
        <w:t>Dans un arrêt de principe du 2 décembre 2019 (ATF 145 V 361), le Tribunal fédéral, à la lumière de l'ATF 141 V 281, a notamment posé une délimitation, entre l'examen (libre), par les autorités chargées de l'application du droit, de l'admission d'une incapacité de travail par l'expert psychiatre, d'une part, et une appréciation juridique parallèle inadmissible, d'autre part. Selon le Tribunal fédéral, dans tous les cas, l’administration et, en cas de recours, le juge, doivent examiner si et dans quelle mesure les experts ont suffisamment et de manière compréhensible étayé leur évaluation de l'incapacité de travail, en tenant compte des indicateurs pertinents (questions de preuve). À cette fin, les experts doivent établir un lien avec la partie précédente de l'expertise médico-psychiatrique (avec extraits du dossier, anamnèse, constatations, diagnostics, etc.), c'est-à-dire</w:t>
      </w:r>
    </w:p>
    <w:p>
      <w:r>
        <w:t>A/43/2021 - 19/26 - qu'ils doivent se référer en détail aux résultats médico-psychiatriques des examens et explorations cliniques menés dans les règles de l’art qui relèvent de leur compétence. Le médecin doit donc exposer de manière détaillée les raisons médico- psychiatriques pour lesquelles les éléments constatés sont susceptibles de restreindre la capacité fonctionnelle et les ressources psychiques en termes qualitatifs, quantitatifs et temporels (ATF 143 V 418 consid. 6). À titre d’exemple, dans le cadre de troubles dépressifs récurrents de degrés légers à modérés qui sont souvent au premier plan dans l’examen de l’invalidité au sens de l’AI, cela signifie qu’il ne suffit pas que l'expert psychiatre déduise directement de l'épisode dépressif diagnostiqué une incapacité de travail, quel qu'en soit le degré ; il doit bien plutôt démontrer si et dans quelle mesure les constatations qu'il a faites (tristesse, désespoir, manque de dynamisme, fatigue, troubles de la concentration et de l'attention, diminution de la capacité d'adaptation, etc.) limitent la capacité de travail, en tenant compte - à des fins de comparaison, de contrôle et de plausibilité - des autres activités personnelles, familiales et sociales de la personne requérant une rente. Si les experts s'acquittent de cette tâche de manière convaincante, en tenant compte des éléments de preuve établis par l'ATF 141 V 281, l'évaluation des répercussions de l’atteinte psychique sera également valable du point de vue des organes chargés de l’application du droit, que ce soit l’administration ou le juge. À défaut, il se justifie, juridiquement, de s'en écarter (ATF 145 V 361 consid. 4.3 et la référence).</w:t>
      </w:r>
    </w:p>
    <w:p>
      <w:r>
        <w:rPr>
          <w:b/>
        </w:rPr>
        <w:t>E. 14.2</w:t>
      </w:r>
    </w:p>
    <w:p>
      <w:r>
        <w:t>En ce qui concerne l'évaluation du caractère invalidant des affections psychosomatiques et psychiques, l'appréciation de la capacité de travail par un médecin psychiatre est soumise à un contrôle (libre) des organes chargés de l'application du droit à la lumière de l'ATF 141 V 281 (ATF 145 V 361 consid. 4.3 ; arrêt du Tribunal fédéral 9C_585/2019 du 3 juin 2020 consid. 2 et les références). Il peut ainsi arriver que les organes d'application du droit se distancient de l'évaluation médicale de la capacité de travail établie par l’expertise sans que celle- ci ne perde sa valeur probante (arrêt du Tribunal fédéral 9C_128/2018 du 17 juillet 2018 consid. 2.2 et les références). Du point de vue juridique, il est même nécessaire de s’écarter de l’appréciation médicale de la capacité de travail si l’évaluation n’est pas suffisamment motivée et compréhensible au vu des indicateurs pertinents, ou n’est pas convaincante du point de vue des éléments de preuve instaurés par l’ATF 141 V 281. S’écarter de l’évaluation médicale est alors admissible, du point de vue juridique, sans que d’autres investigations médicales ne soient nécessaires (arrêt du Tribunal fédéral 9C_832/2019 du 6 mai 2020 consid. 2.2). Toutefois, lorsque l’administration ou le juge, au terme de son appréciation des preuves, parvient à la conclusion que le rapport d'expertise évalue la capacité de travail en fonction des critères de médecine des assurances établis dans l'ATF 141 V 281 et qu’il satisfait en outre aux exigences générales en matière de preuves (ATF 134 V 231 consid. 5.1), il a force probante et ses conclusions sur la capacité de travail doivent être suivies par les organes d'application de la loi. Une appréciation juridique parallèle libre en fonction de la grille d'évaluation normative</w:t>
      </w:r>
    </w:p>
    <w:p>
      <w:r>
        <w:t>A/43/2021 - 20/26 - et structurée ne doit pas être entreprise (cf. ATF 145 V 361 consid. 4.3 ; arrêts du Tribunal fédéral 8C_213/2020 du 19 mai 2020 consid. 4.3 et les références). 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 (cf. arrêt du Tribunal fédéral 8C_423/2019 du 7 février 2020 consid. 3.2.2 et les références).</w:t>
      </w:r>
    </w:p>
    <w:p>
      <w:r>
        <w:rPr>
          <w:b/>
        </w:rPr>
        <w:t>E. 15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16</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 ATF 122 V 157 consid. 1d).</w:t>
      </w:r>
    </w:p>
    <w:p>
      <w:r>
        <w:rPr>
          <w:b/>
        </w:rPr>
        <w:t>E. 17</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w:t>
      </w:r>
    </w:p>
    <w:p>
      <w:r>
        <w:t>A/43/2021 - 21/26 -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18</w:t>
      </w:r>
    </w:p>
    <w:p>
      <w:r>
        <w:t>Dans son ordonnance d’expertise du 7 juin 2023, la chambre de céans a déjà eu l’occasion de se prononcer sur le caractère incomplet de l’instruction effectuée par l’OAI, point n’est besoin de revenir sur cet aspect. En l’espèce, la fondation recourante, qui pourrait être amenée à servir une rente, maintient ses conclusions, tout en mentionnant des doutes sur la date de début de l’invalidité retenue par l’expert, mais sans apporter d’élément objectif. L’OAI de son côté, considère qu’il est douteux que l’expert ait pu établir de manière objective des périodes pendant lesquelles l’appelée en cause avait une capacité de travail de 50%, raison pour laquelle il maintient les termes de sa décision ; il ajoute que, même si une réadaptation pouvait exister, elle n’a pas pu être confirmée et on ne peut ainsi conclure que la capacité de travail était de 50% durant cet intervalle de temps. L’appelée en cause, quant à elle, insiste sur son souhait de reprendre une activité lucrative et d’obtenir, le cas échéant, une mesure de réadaptation sous forme de formation professionnelle, apparemment dans le domaine de l’art.</w:t>
      </w:r>
    </w:p>
    <w:p>
      <w:r>
        <w:rPr>
          <w:b/>
        </w:rPr>
        <w:t>E. 18.1</w:t>
      </w:r>
    </w:p>
    <w:p>
      <w:r>
        <w:t>Il convient d’examiner si la chambre de céans peut suivre les conclusions de l’expert psychiatre et donc, d’examiner si le rapport d’expertise présente une valeur probante. Le rapport de l’expert psychiatre K______ correspond en tous points aux exigences en la matière. Il a été établi en parfaite connaissance du dossier médical, dont la lecture a été complétée par deux entretiens avec l’assurée, totalisant 2h00 en tout, ainsi qu’un entretien téléphonique avec le psychiatre traitant de l’assurée, le docteur L______, du département de psychiatrie (CAPPI de la Jonction). Le rapport psychiatrique contient, en outre, une anamnèse personnelle, familiale et professionnelle très fouillée, et l’expert a rapporté ses observations cliniques de manière détaillée. L’expert a commencé par rappeler les hésitations des précédents psychiatres quant aux diagnostics, ces derniers ayant évoqué successivement : en 2007, un trouble de l’humeur, puis une pathologie de la personnalité ; en 2011, une pathologie anxieuse avec idéation de persécution ; en 2014, un trouble psychotique non spécifié ou un</w:t>
      </w:r>
    </w:p>
    <w:p>
      <w:r>
        <w:t>A/43/2021 - 22/26 - trouble dépressif ; en 2018, un trouble délirant chronique non spécifié ; en 2019, une schizophrénie paranoïde et enfin, en 2021, un trouble psychotique indéterminé. Selon l’expert, chacun de ces diagnostics rend compte des diverses manifestations cliniques présentes au cours de l’évolution des troubles, depuis 2007. À l’heure actuelle, malgré un traitement neuroleptique bien suivi, puisqu’administré par voie intramusculaire, l’examen montre la persistance de troubles cognitifs, notamment attention/concentration et de probables lacunes du bagage scolaire, ainsi que d’une anxiété/méfiance vis-à-vis d’autrui, soit une anxiété sociale, y compris vis-à-vis de l’expert ; ce dernier n’exclut pas qu’il persiste des idées de persécution. À l’aune de ces symptômes, le psychiatre a retenu deux diagnostics qui semblent entrer en ligne de compte, soit une schizophrénie paranoïde (F 20.0) et un trouble délirant (F 22.0). L’expert considère que les troubles cognitifs ont débuté bien avant la survenue du trouble psychotique puisqu’ils se sont manifestés dès le début de l’école primaire, mais ils ont certainement été aggravés par le trouble psychotique intervenu ultérieurement. S’agissant du trouble délirant, l’expert considère qu’il semble mieux rendre compte de la sémiologie psychotique constatée chez l’expertisée, depuis 2011 au moins, à savoir la présence constante et inébranlable d’idées délirantes de persécution qui semblent être fixées sur un ex-ami. Après avoir comparé ces troubles, l’expert arrive à la conclusion qu’il faut retenir le diagnostic de trouble délirant probable, auquel s’ajoute une fragilité psychique constitutionnelle plus ancienne, puisque présente dès l’enfance et se manifestant par une anxiété sociale diffuse et des troubles cognitifs de l’attention et de l’apprentissage. Cette fragilité ancienne rentre peut-être dans le cadre d’une pathologie plus large, un trouble envahissant du développement. À l’âge adulte, l’anxiété sociale a pris un tour délirant et les troubles cognitifs ont persisté, aggravés par la présence du trouble psychotique. Ce dernier est maintenant au premier plan, ce qui ne permet pas de distinguer la part résiduelle du trouble de développement dans le tableau actuel. Les limitations fonctionnelles décrites par l’expert sont de deux ordres : en premier lieu, le vécu persécutoire, soit une source permanente et importante de conflits interpersonnels, ce qui s’était passé lorsqu’elle fréquentait l’école des Arts décoratifs et également lors de son emploi de vendeuse, entre 2016 et 2018. L’absentéisme élevé qui était à l’origine de son licenciement était dû à l’anxiété persécutoire que l’assurée cherchait à éviter, en ne se rendant pas à son travail. Ce mécanisme est toujours à l’œuvre à l’heure actuelle, même si c’est dans une moindre mesure, probablement grâce à l’effet antipsychotique du neuroleptique. Ces limitations fonctionnelles peuvent lui poser des problèmes en cas de reprise d’activité car il est inévitable qu’elle soit exposée à des relations interpersonnelles susceptibles de raviver le vécu persécutoire. Pour cette raison, le psychiatre traitant, le Dr L______, a recommandé que l’assurée n’exerce pas une activité impliquant de nombreux contacts interpersonnels, afin de limiter le risque de « réveiller » le</w:t>
      </w:r>
    </w:p>
    <w:p>
      <w:r>
        <w:t>A/43/2021 - 23/26 - vécu persécutoire, car toute relation interne interpersonnelle est à risque chez l’expertisée. En second lieu, l’expert mentionne les limitations fonctionnelles créées par les troubles cognitifs, ce que l’observation lors du stage aux EPI a objectivé, en remarquant un manque de concentration et d’organisation du travail. En cas de reprise d’activité, l’activité exercée devrait être simple, sans exigence élevée en termes de mémoire, d’attention, de concentration et de capacité d’apprentissage. De ce point de vue, l’activité d’horlogerie, minutieuse, serait peut-être trop exigeante pour les capacités de l’expertisée en matière d’attention et de concentration. S’agissant de la capacité de travail et des différentes périodes concernées, l’expert les explique soigneusement ; la capacité de travail était nulle à partir de juin 2018 lors de l’épisode psychotique aigu, avec passage aux urgences psychiatriques, et début du suivi psychiatrique aux HUG, puis en privé. En novembre 2019, le Dr H______ signale une amélioration partielle permettant une reprise d'activité à 50%, mais après le stage aux EPI en février 2020, l’expertisée ne reprend pas d’activité. En août 2021, intervient une nouvelle rechute qui conduit à une hospitalisation, incompatible avec toute activité. Depuis la sortie de Belle-Idée, en septembre 2021, une nouvelle amélioration partielle est relevée par le psychiatre traitant du CAPPI, mais il est probable que l’amélioration est en bonne partie due à l’administration intramusculaire du neuroleptique, permettant un effet sûr, introduite avec l’accord de l’expertisée à fin juillet 2023. C’est sur ces observations que l’expert psychiatre s’est fondé pour établir les périodes de capacité de travail nulle et celles de capacité de travail à 50%. Se prononçant sur la réadaptation, l’expert considère que l’assurée est jeune et que dans le passé, malgré sa pathologie, elle a pu exercer une activité lucrative dans une mesure limitée ; il lui semble donc raisonnable qu’on lui donne une chance de revenir partiellement dans la vie active en lui proposant une aide à la réinsertion tenant compte des limitations fonctionnelles mentionnées. Un bilan est indiqué à la fin de la mesure de réinsertion proposée, si celle-ci peut être mise en place. L’expert s’est ensuite livré à une description au regard des indicateurs juridiques de gravité, dans le complexe d’atteinte à la santé, de la personnalité, du contexte social et la cohérence du point de vue du comportement. Les diagnostics retenus sont soigneusement motivés, et l’expert a expliqué, avec clarté, les limitations fonctionnelles liées aux troubles psychiques de l’assurée. Il a également expliqué les raisons pour lesquelles il partageait ou se distançait de l’appréciation des médecins intervenus dans le dossier. Il a notamment mentionné que, contrairement à la position de l’OAI, le responsable des EPI semblait moins catégorique sur l’échec de la réadaptation et estimait que « l’assurée doit développer sa confiance en elle et rester positive car elle a toutes les capacités pour atteindre ses objectifs personnels. Rester proactif dans son apprentissage lui</w:t>
      </w:r>
    </w:p>
    <w:p>
      <w:r>
        <w:t>A/43/2021 - 24/26 - permettra d’avoir une vision d’avenir » (rapport des EPI du 6 mars 2020, p. 6 in fine).</w:t>
      </w:r>
    </w:p>
    <w:p>
      <w:r>
        <w:rPr>
          <w:b/>
        </w:rPr>
        <w:t>E. 18.2</w:t>
      </w:r>
    </w:p>
    <w:p>
      <w:r>
        <w:t>Compte tenu de l’ensemble de ces éléments, la chambre de céans considère que le rapport d’expertise présente une entière valeur probante. Les doutes exposés par la recourante, quant au début de l’invalidité, ne reposent sur aucun élément concret. Quant aux doutes exprimés par l’OAI sur la manière de déterminer la capacité de travail de 50% de l’assurée pendant certaines périodes, il ne s’agit que d’une appréciation différente de celle de l’expert, étant précisé que celui-ci a soigneusement mentionné les raisons pour lesquelles il avait retenu ces périodes en p. 12 et 13 du rapport d’expertise. Les troubles psychiques dont souffre l’assurée sont sérieux et les limitations fonctionnelles relevées par l’expert représentent des obstacles réels pour exercer une activité lucrative. Néanmoins, il sied de considérer que l’assurée est jeune et motivée pour essayer de reprendre une activité lucrative, ainsi que pour bénéficier de mesures de formation professionnelle. L’expert K______ partage cet avis et considère qu’il faut donner à l’assurée une chance supplémentaire de pouvoir se réadapter, mais dans un autre domaine que l’horlogerie, ce dernier n’étant pas compatible, de par ses exigences de minutie, avec les troubles de l’attention et de la concentration de l’assurée. Le Dr H______, médecin traitant qui suit l’assurée depuis plusieurs années, partage également cet avis. À l’aune de ces différents éléments, la chambre de céans considère que l’OAI n’aurait pas dû se limiter à un seul essai de réadaptation dans le domaine de l’horlogerie, avant de décider d’octroyer une rente invalidité à l’assurée. Comme le soutient la fondation recourante, rien ne permettait d’exclure une reconversion professionnelle dans une autre activité, peut-être moins complexe, et l’assurée réunissait toutes les conditions pour ce faire dès lors qu’elle était âgée de 33 ans seulement et très motivée (mémoire de recours, p. 9 et 10). Dès lors, la décision querellée sera annulée et la cause renvoyée à l’OAI pour poursuivre l’instruction, et notamment mettre sur pied des mesures professionnelles en faveur de l’appelée en cause, avant de rendre une nouvelle décision.</w:t>
      </w:r>
    </w:p>
    <w:p>
      <w:r>
        <w:rPr>
          <w:b/>
        </w:rPr>
        <w:t>E. 19</w:t>
      </w:r>
    </w:p>
    <w:p>
      <w:r>
        <w:t>Conformément à la jurisprudence constante du Tribunal fédéral, l’art. 45 al. 1 LPGA constitue une base légale suffisante pour mettre les coûts d’une expertise judiciaire à la charge de l’assureur (ATF 143 V 269 consid. 6.2.1 et les références), lorsque les résultats de l'instruction mise en œuvre dans la procédure administrative n'ont pas une valeur probatoire suffisante pour trancher des points juridiquement essentiels et qu'en soi un renvoi est envisageable en vue d'administrer les preuves considérées comme indispensables, mais qu'un tel renvoi apparaît peu opportun au regard du principe de l'égalité des armes (ATF 139 V 225 consid. 4.3).</w:t>
      </w:r>
    </w:p>
    <w:p>
      <w:r>
        <w:t>A/43/2021 - 25/26 - 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aura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consid. 4.4 et les références ; arrêt du Tribunal fédéral 8C_580/2019 du 6 avril 2020 consid. 5.1). En l’occurrence, l’OAI s’est fondé sur les recommandations de son SMR ainsi que sur le rapport des EPI, mais n’a pas jugé utile d’ordonner une expertise, en dépit des appréciations différentes des médecins traitants de l’appelée en cause. Son instruction du cas s'est révélée lacunaire, raison pour laquelle les coûts de l’expertise judiciaire par CHF 4’575.-, selon la facture du 30 octobre 2023 du Dr K______, seront mis à sa charge.</w:t>
      </w:r>
    </w:p>
    <w:p>
      <w:r>
        <w:rPr>
          <w:b/>
        </w:rPr>
        <w:t>E. 20</w:t>
      </w:r>
    </w:p>
    <w:p>
      <w:r>
        <w:t>La recourante, assistée par un mandataire professionnellement qualifié et obtenant gain de cause, a ainsi droit à une indemnité à titre de participation à ses frais et dépens, que la chambre de céans fixera à CHF 2'500.- (art. 61 let. g LPGA ; art. 89H al. 3 LPA ; art. 6 du règlement sur les frais, émoluments et indemnités en procédure administrative du 30 juillet 1986 [RFPA - RS E 5 10.03]).</w:t>
      </w:r>
    </w:p>
    <w:p>
      <w:r>
        <w:rPr>
          <w:b/>
        </w:rPr>
        <w:t>E. 21</w:t>
      </w:r>
    </w:p>
    <w:p>
      <w:r>
        <w:t>Étant donné que, depuis le 1er juillet 2006, la procédure n'est plus gratuite (art. 69 al. 1bis LAI), au vu du sort du recours, il y a lieu de condamner l'intimé au paiement d'un émolument de CHF 200.-.</w:t>
      </w:r>
    </w:p>
    <w:p>
      <w:r>
        <w:t>A/43/2021 - 26/26 -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