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ATAS/998/2021 vom 27. September 2021</w:t>
      </w:r>
    </w:p>
    <w:p>
      <w:r>
        <w:t>GE Cour de justice, 2021-09-27, FR</w:t>
      </w:r>
    </w:p>
    <w:p>
      <w:r>
        <w:rPr>
          <w:b/>
        </w:rPr>
        <w:t xml:space="preserve">Quelle: </w:t>
      </w:r>
      <w:r>
        <w:t>https://mcp.opencaselaw.ch/entscheid/ge_gerichte_ATAS_998_2021</w:t>
      </w:r>
    </w:p>
    <w:p>
      <w:r>
        <w:t>FR: GE_GERICHTE ATAS/998/2021 du 27 septembre 2021</w:t>
      </w:r>
    </w:p>
    <w:p>
      <w:r>
        <w:t>IT: GE_GERICHTE ATAS/998/2021 del 27 settembre 2021</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de la recourante.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w:t>
      </w:r>
    </w:p>
    <w:p>
      <w:r>
        <w:t>A/1820/2021 - 4/9 -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Sur le plan quantitatif, la jurisprudence considère que 10 à 12 recherches d'emploi par mois sont en principe suffisantes ( ATF 139 V 524;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w:t>
      </w:r>
    </w:p>
    <w:p>
      <w:r>
        <w:t>A/1820/2021 - 5/9 - s'agit d'un contrat à durée déterminée, au moins durant les 3 derniers mois (Bulletin du SECO LACI/IC – janvier 2014 - B 314; arrêt du Tribunal fédéral 8C 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En particulier, l'OCE estime que dès lors que son site internet mentionne qu’il faut faire plusieurs recherches par semaine avant l’inscription au chômage, cela signifie qu'il est exigé des demandeurs d'emploi au moins deux RPE par semaine, donc huit par mois (ATAS/1133/2020 du 23 novembre 2020 et https://www.ge.ch/inscrire-au-chomage).</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w:t>
      </w:r>
    </w:p>
    <w:p>
      <w:r>
        <w:t>A/1820/2021 - 6/9 -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w:t>
      </w:r>
    </w:p>
    <w:p>
      <w:r>
        <w:t>A/1820/2021 - 7/9 -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6 jours, préalablement prononcée par l'ORP.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(ATAS/808/2016 du 12 octobre 2016).</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il est établi que la recourante a effectué, avant son inscription auprès de l’intimé le 1er mars 2021, deux RPE en décembre 2021, deux RPE en janvier 2021 et trois RPE en février 2021. Compte tenu de la jurisprudence précitée ainsi que des informations données par le site internet de l’intimé, il convient de constater qu’un nombre de huit RPE par mois est exigible des assurés avant leur inscription à l’assurance-chômage. Certes, comme la souligné la recourante, l’information donnée par l’intimé n’est pas très claire et on peine à comprendre pour quels motifs l’intimé ne mentionne pas précisément le nombre de postulations minimum exigé de la part des assurés, au lieu de se limiter à mentionner une exigence de plusieurs RPE par semaine. A cet égard, la recourante a aussi relevé que, dans sa compréhension, les RPE comprenaient également les consultations de site internet d’employeurs, voire toute démarche autre qu’une postulation. Cette confusion pourrait être aisément supprimée par une indication non ambigüe sur le site internet de l’intimé.</w:t>
      </w:r>
    </w:p>
    <w:p>
      <w:r>
        <w:t>A/1820/2021 - 8/9 - En toute hypothèse, compte tenu des exigences jurisprudentielles précitées, il incombait à la recourante, en cas de doute, de se renseigner auprès de l’intimé afin de connaitre les modalités de RPE exigées. Au demeurant, le nombre de RPE fourni par la recourante entre décembre 2020 et février 2021 est insuffisant, de sorte que le principe de la faute est admis. S’agissant de la quotité de la sanction, l’intimé n’a pas pris en compte la particularité des compétences professionnelles de la recourante et les postes recherchés, lesquels, comme l’a relevé la recourante et comme ne l’a pas contesté l’intimé, sont rares. En effet, en tant que spécialiste du génome et des bactéries dans le domaine de la bio-informatique et de la microbiologie, la recourante peut prétendre à trouver un contrat de travail dans le domaine de la recherche, essentiellement auprès des grandes universités, voire auprès de certaines entreprises privées, étant relevé que celles-ci recherchent plutôt des spécialistes dans le domaine de la pharmacologie et de la médecine, ce qui n’est pas précisément la spécialisation de la recourante (procès-verbal d’audience du 13 septembre 2021). Au vu de la jurisprudence précitée, il convient ainsi de tenir compte du fait que les RPE insuffisantes de la recourante sont en partie expliquées par le nombre restreint de postes existants dans son domaine de spécialisation plutôt que par un manque d’engagement de la recourante dans la recherche d’un emploi durant les trois derniers mois de celui-ci. Partant, le recours sera partiellement admis et la décision litigieuse réformée, en ce sens que la sanction est réduite de 9 à 6 jours de suspension du droit à l’indemnité de la recourante.</w:t>
      </w:r>
    </w:p>
    <w:p>
      <w:r>
        <w:rPr>
          <w:b/>
        </w:rPr>
        <w:t>E. 9</w:t>
      </w:r>
    </w:p>
    <w:p>
      <w:r>
        <w:t>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 Pour le surplus, la procédure est gratuite.</w:t>
      </w:r>
    </w:p>
    <w:p>
      <w:r>
        <w:t>A/1820/2021 - 9/9 -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