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ATAS/998/2019 vom 28. Oktober 2019</w:t>
      </w:r>
    </w:p>
    <w:p>
      <w:r>
        <w:t>GE Cour de justice, 2019-10-28, FR</w:t>
      </w:r>
    </w:p>
    <w:p>
      <w:r>
        <w:rPr>
          <w:b/>
        </w:rPr>
        <w:t xml:space="preserve">Quelle: </w:t>
      </w:r>
      <w:r>
        <w:t>https://mcp.opencaselaw.ch/entscheid/ge_gerichte_ATAS_998_2019</w:t>
      </w:r>
    </w:p>
    <w:p>
      <w:r>
        <w:t>FR: GE_GERICHTE ATAS/998/2019 du 28 octobre 2019</w:t>
      </w:r>
    </w:p>
    <w:p>
      <w:r>
        <w:t>IT: GE_GERICHTE ATAS/998/2019 del 28 ottobre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Il court dès le lendemain de la notification de la décision (art.62 al. 3 LPA-GE et dans le même sens art. 38 al. 1 LPGA. Au vu des principes qui précèdent, interjeté dans la forme et le délai prévus par la loi, le recours est recevable (art. 56 ss LPGA et 89B LPA-GE).</w:t>
      </w:r>
    </w:p>
    <w:p>
      <w:r>
        <w:rPr>
          <w:b/>
        </w:rPr>
        <w:t>E. 4</w:t>
      </w:r>
    </w:p>
    <w:p>
      <w:r>
        <w:t>Est litigieux le droit de la recourante à l’assistance juridique à partir du 26 avril 2019, dans le cadre de la procédure d’audition faisant suite au projet d’acceptation</w:t>
      </w:r>
    </w:p>
    <w:p>
      <w:r>
        <w:t>A/2310/2019 - 8/13 - de rente du 8 avril 2019 qui lui accorde une rente entière d’invalidité du 1er avril 2017 au 30 avril 2019 et nie tout diminution de sa capacité de gain dès janvier 2019. Plus particulièrement, il convient de déterminer si la complexité de la cause justifie l’assistance d’un avocat.</w:t>
      </w:r>
    </w:p>
    <w:p>
      <w:r>
        <w:rPr>
          <w:b/>
        </w:rPr>
        <w:t>E. 5</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w:t>
      </w:r>
    </w:p>
    <w:p>
      <w:r>
        <w:rPr>
          <w:b/>
        </w:rPr>
        <w:t>E. 6</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w:t>
      </w:r>
    </w:p>
    <w:p>
      <w:r>
        <w:t>A/2310/2019 - 9/13 -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7</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w:t>
      </w:r>
    </w:p>
    <w:p>
      <w:r>
        <w:t>A/2310/2019 - 10/13 -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op. cit., consid. 3.3).</w:t>
      </w:r>
    </w:p>
    <w:p>
      <w:r>
        <w:rPr>
          <w:b/>
        </w:rPr>
        <w:t>E. 8</w:t>
      </w:r>
    </w:p>
    <w:p>
      <w:r>
        <w:t>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 b. En l’espèce, la recourante sollicite l’assistance juridique dans le cadre de la procédure d’audition consécutive au projet d’acceptation de rente du 8 avril 2019 pour une durée limitée du 1er avril 2017 au 30 avril 2019. Ce dernier se base sur les rapports du Dr B______ des 26 janvier 2017 et 23 octobre 2017, le rapport d’expertise du Prof. D______ du 15 janvier 2019, ainsi que sur le rapport du SMR établi le 4 mars 2019.</w:t>
      </w:r>
    </w:p>
    <w:p>
      <w:r>
        <w:rPr>
          <w:b/>
        </w:rPr>
        <w:t>E. 9</w:t>
      </w:r>
    </w:p>
    <w:p>
      <w:r>
        <w:t>a. Au vu de la jurisprudence susmentionnée, la nature du litige concernant le droit à une rente d’invalidité ne permet pas d’admettre que la situation juridique de la recourante est susceptible d’être touchée gravement, de sorte que l’assistance juridique n’apparaît pas d’emblée comme nécessaire. b. Sur le plan médical, le Prof. D______ diagnostique un trouble de la personnalité anxieuse évitante dès 2010, soit un diagnostic divergent de celui du Dr B______ qui pose, en dernier lieu, les diagnostics de retard mental léger et d’anxiété généralisée légère. Le rapport d’expertise conclut à une capacité de travail nulle dans l’activité exercée jusqu’ici dès 2010 et de 100% dans un milieu bienveillant avec faible exposition au stress. La divergence des diagnostics posés par les deux psychiatres n’a pas d’incidence sur l’appréciation de la capacité de travail puisque le Prof. D______ considère que le trouble de la personnalité est gravement invalidant en milieu usuel et qu’une thérapie cognitive orientée vers les inhibitions névrotiques de la recourante serait en mesure de favoriser un retour vers le milieu</w:t>
      </w:r>
    </w:p>
    <w:p>
      <w:r>
        <w:t>A/2310/2019 - 11/13 - usuel du travail. Il ne mentionne pas de date s’agissant d’un tel retour, mais explique qu’il pourra avoir lieu une fois que le milieu adapté permettra le retour de la recourante vers le monde du travail. Les conclusions de l’expert ne sont pas claires, car il ne précise pas si la capacité de travail de 100% dans une activité adaptée existe sur le marché du travail ordinaire ou seulement en milieu protégé. À cet égard, dans son avis du 4 mars 2019, le SMR comprend les conclusions du Dr D______ comme retenant pour exigible une capacité de travail dans une activité adaptée de 100% dès le 1er janvier 2019 sur le marché ordinaire du travail, alors que dans son avis du 18 juin 2019, il considère que cette capacité de travail concerne une activité uniquement dans un milieu protégé. En tant que des médecins spécialisés dans le domaine de l’assurance- invalidité n’arrivent pas à se comprendre entre eux sur le plan médical, force est de constater que la situation médicale est complexe. Sur le plan juridique, il convient de vérifier si c’est à bon droit que l’intimé a limité la durée d’octroi de la rente d’invalidité de la recourante au 30 avril 2019, eu égard à une capacité de travail exigible de 100% dès le 1er janvier 2019 dans une activité adaptée ainsi que l’a retenu le SMR dans son rapport du 4 mars 2019 tout en précisant pouvoir suivre les conclusions de l’expert. Cette question nécessite de contrôler si l’expertise psychiatrique conclut à une telle capacité de travail dès le 1er janvier 2019. Or, si la juriste de l’intimé, pourtant spécialisée dans les questions juridiques relatives à l’assurance-invalidité, a considéré que les chances de succès étaient très faibles au motif que les conclusions de l’expertise étaient complètes, l’assistant/e sociale des HG n’est pas à même de déduire de conclusions médicales peu claires quelle est la capacité de travail raisonnablement exigible de la recourante sur le marché du travail ordinaire Par ailleurs, il ne peut pas être requis du psychiatre traitant, qui n’est pas un spécialiste en matière d’assurance-invalidité, d’opérer le distinguo entre marché du travail ordinaire et fermé, alors que les médecins du SMR ne s’accordent pas entre eux sur cette problématique. Au demeurant, il a fallu que le mandataire intervienne dans la procédure d’audition pour que l’intimé revoie sa position, alors que le gestionnaire de l’intimé – qui n’est pas juriste tout comme l’assistant social – n’a pas identifié cette problématique. En définitive, la difficulté relative du cas, ainsi que la complexité de l’état de fait et des questions de droit rendent objectivement nécessaire l’assistance d’un avocat déjà au stade de la procédure administrative, au vu de ces circonstances exceptionnelles. c. De plus, il n’est pas contesté que la recourante est indigente et que la décision finale de l’intimé lui donne raison en lui allouant une rente entière d’invalidité dès le 1er janvier 2019 et sans limite de durée. Étant donné que toutes les conditions cumulatives requises pour l’octroi de l’assistance juridique au stade de la procédure administrative sont réalisées, il y a lieu de mettre la recourante au bénéfice de celle-ci dès le dépôt de la requête</w:t>
      </w:r>
    </w:p>
    <w:p>
      <w:r>
        <w:t>A/2310/2019 - 12/13 - d’assistance juridique, soit dès le 26 avril 2019 (cf. arrêt du Tribunal fédéral 9C_923/2009 du 10 mai 2010 consid. 4.1.3).</w:t>
      </w:r>
    </w:p>
    <w:p>
      <w:r>
        <w:rPr>
          <w:b/>
        </w:rPr>
        <w:t>E. 10</w:t>
      </w:r>
    </w:p>
    <w:p>
      <w:r>
        <w:t>Au vu de ce qui précède, le recours sera admis et la décision du 13 mai 2019 sera annulée. La recourante étant représenté par un avocat et obtenant gain de cause, une indemnité de CHF 2’000.- lui sera accordée à titre de participation à ses frais et dépens (art. 61 let. g LPGA; art. 6 du règlement sur les frais, émoluments et indemnités en matière administrative du 30 juillet 1986 [RFPA - E 5 10.03]).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w:t>
      </w:r>
    </w:p>
    <w:p>
      <w:r>
        <w:t>A/2310/2019 - 13/13 -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