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ATAS/998/2017 vom 13. November 2017</w:t>
      </w:r>
    </w:p>
    <w:p>
      <w:r>
        <w:t>GE Cour de justice, 2017-11-13, FR</w:t>
      </w:r>
    </w:p>
    <w:p>
      <w:r>
        <w:rPr>
          <w:b/>
        </w:rPr>
        <w:t xml:space="preserve">Quelle: </w:t>
      </w:r>
      <w:r>
        <w:t>https://mcp.opencaselaw.ch/entscheid/ge_gerichte_ATAS_998_2017</w:t>
      </w:r>
    </w:p>
    <w:p>
      <w:r>
        <w:t>FR: GE_GERICHTE ATAS/998/2017 du 13 novembre 2017</w:t>
      </w:r>
    </w:p>
    <w:p>
      <w:r>
        <w:t>IT: GE_GERICHTE ATAS/998/2017 del 13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A/724/2017 - 11/20 -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aux prestations de la recourante, en particulier sur son degré d’invalidité et sa capacité de travail dans son activité habituelle et dans une activité adaptée à ses limitations fonctionnelles.</w:t>
      </w:r>
    </w:p>
    <w:p>
      <w:r>
        <w:rPr>
          <w:b/>
        </w:rPr>
        <w:t>E. 4.2</w:t>
      </w:r>
    </w:p>
    <w:p>
      <w:r>
        <w:t>;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5.1</w:t>
      </w:r>
    </w:p>
    <w:p>
      <w:r>
        <w:t>et 5.2).</w:t>
      </w:r>
    </w:p>
    <w:p>
      <w:r>
        <w:rPr>
          <w:b/>
        </w:rPr>
        <w:t>E. 6</w:t>
      </w:r>
    </w:p>
    <w:p>
      <w:r>
        <w:t>Tant lors de l'examen initial du droit à la rente qu'à l'occasion d'une révision de celle-ci (art. 17 LPGA), il faut examiner sous l'angle des art. 4 et 5 LAI quelle méthode d'évaluation de l'invalidité il convient d'appliquer (art. 28a LAI, en</w:t>
      </w:r>
    </w:p>
    <w:p>
      <w:r>
        <w:t>A/724/2017 - 12/20 -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rPr>
          <w:b/>
        </w:rPr>
        <w:t>E. 7</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w:t>
      </w:r>
    </w:p>
    <w:p>
      <w:r>
        <w:t>A/724/2017 - 13/20 -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w:t>
      </w:r>
    </w:p>
    <w:p>
      <w:r>
        <w:rPr>
          <w:b/>
        </w:rPr>
        <w:t>E. 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w:t>
      </w:r>
    </w:p>
    <w:p>
      <w:r>
        <w:t>A/724/2017 - 14/20 - que l’on peut clairement constater ou des indices laissant apparaître une inexactitude dans les résultats de l’enquête (ATF 129 V 67 consid. 2.3.2 non publié au Recueil officiel mais dans VSI 2003 p. 221; arrêt du Tribunal fédéral des assurances I 733/06 du 16 juillet 2007). c) Pour satisfaire à l'obligation de réduire le dommage (ATF 129 V 463 consid.</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10</w:t>
      </w:r>
    </w:p>
    <w:p>
      <w:r>
        <w:t>En l’espèce, l’intimé a considéré que sans atteinte à la santé, la recourante aurait exercé son activité professionnelle à 20%, consacrant le reste de son temps, soit 80%, à la tenue de son ménage, ce qui n’est pas contesté par la recourante.</w:t>
      </w:r>
    </w:p>
    <w:p>
      <w:r>
        <w:t>A/724/2017 - 15/20 - En l’occurrence, il ressort du dossier que la recourante a toujours travaillé à temps partiel, à un taux qui n’a pas excédé 50%, et cela malgré le fait que les activités d’écrivaine et de promeneuse de chiens convenaient à son état de santé, selon les propres déclarations de l’intéressée et les conclusions du Dr H______. En concubinage depuis une quinzaine d’années, l’intéressée s’est séparée en 2014. Pourtant, malgré ce changement majeur dans sa situation personnelle, l’assurée n’a pas augmenté son taux d’activité, à l’époque de 20%. De plus, en mars 2016, l’assurée s’est inscrite au chômage, indiquant rechercher une activité à 25%. Compte tenu de ces éléments, c’est donc à bon droit que l’intimé a retenu un statut mixte, réparti à hauteur de 20% dans l’activité professionnelle et de 80% dans la sphère ménagère. S’agissant de l’enquête économique sur le ménage du 11 avril 2015, elle a été élaborée par une enquêtrice qualifiée qui s’est déplacée au domicile de la recourante, qui s’est entretenue avec cette dernière et en présence de sa colocataire, qui avait connaissance des empêchements et des handicaps résultant des diagnostics médicaux, et qui a retranscrit les déclarations de la recourante. Les conclusions de l’enquêtrice, notamment s’agissant des taux d’empêchement dans les différentes tâches ménagères, apparaissent comme plausibles compte tenu de la situation et sont motivées et rédigées de manière satisfaisante. Sur ce point, il convient de relever que les taux d’empêchement retenus ne peuvent pas être remis en cause par le rapport du 17 février 2017 de la Dresse F______, ce médecin ne motivant et ne détaillant pas le taux d’empêchement de 50% retenu dans les travaux ménagers. Dès lors, il n’y aurait pas lieu de s’écarter de l’enquête économique sur le ménage s’agissant des taux d’empêchement dans les différentes tâches. Cela étant, le fait qu’une exigibilité soit retenue à l’égard de la colocataire de la recourante peut apparaître critiquable, dans la mesure où ladite colocataire n’est pas un membre de la famille de l’intéressée ou sa concubine. Dès lors, il est contestable qu’une exigibilité soit retenue la concernant, à tout le moins dans les proportions retenues par l’enquêtrice. Cela étant, cette question peut demeurer ouverte puisque même s’il fallait ne tenir compte d’aucune exigibilité de la part de la colocataire, le taux d’empêchement de la recourante dans la sphère ménagère serait de 46.40% et son degré d’invalidité total de 37% (80% de 46.40%), de sorte que le seuil nécessaire à l’octroi d’une rente d’invalidité ne serait dans tous les cas pas atteint (cf. consid. 13).</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A/724/2017 - 16/20 -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A/724/2017 - 17/20 -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13</w:t>
      </w:r>
    </w:p>
    <w:p>
      <w:r>
        <w:t>En l’espèce, l’intimé considère que la recourante présente une capacité de travail de 100% dans son activité habituelle, ainsi que dans toute activité adaptée à ses limitations fonctionnelles, de sorte que son degré d’invalidité dans la sphère professionnelle est nul. Pour parvenir à cette conclusion, l’intimé se fonde sur l’expertise du Dr H______, ainsi que sur le rapport du SMR du 20 décembre 2016 basé sur ladite expertise. Quant à la recourante, s’appuyant sur les rapports des Drs F______ et J______, elle estime que sa capacité de travail est de 50%, tant dans son activité habituelle que dans une activité adaptée à ses limitations fonctionnelles. En l’occurrence, le Dr H______ a considéré qu’en raison de ses atteintes au niveau du dos, la recourante présentait des limitations fonctionnelles, soit la nécessité d’éviter de soulever, porter, pousser et tirer de façon répétitive ou fréquente des</w:t>
      </w:r>
    </w:p>
    <w:p>
      <w:r>
        <w:t>A/724/2017 - 18/20 - charges de plus de cinq kilogrammes, de marcher longtemps, de garder la même posture (debout ou assis) plus de trente ou soixante minutes, de travailler dans une position instable (échafaudages, échelles et escaliers), et d’effectuer des mouvements répétitifs des membres inférieurs (machine à commande à pied). Les activités habituelles d’écrivaine et de promeneuse de chiens étaient compatibles avec ces limitations de sorte que la capacité de travail était de 100% dans chacune des activités habituelles et dans une activité adaptée auxdites limitations. Cette expertise est fondée sur une étude du dossier et un examen clinique de la recourante. Le Dr H______ a rappelé le contexte et le but de l’expertise, résumé les extraits pertinents du dossier, exposé l’anamnèse et les plaintes de la recourante, discuté les conclusions de la Dresse F______ et fait part de ses constatations objectives avant de donner ses conclusions. Les diagnostics retenus sont clairs et leurs conséquences ou non sur la capacité de travail sont motivées de manière complète et convaincante. Dès lors, la valeur probante de cette expertise doit être reconnue. Certes, la recourante oppose-t-elle à l’expertise le fait que les Drs K______ et J______ ont des conclusions divergentes par rapport à sa capacité de travail. Cela étant, la recourante n’explique pas en quoi le Dr H______ ferait fausse route et ne critique pas concrètement son expertise ni son analyse du cas. En réalité, l’intéressée se contente de substituer l’appréciation des Drs K______ et J______ à celle du Dr H______, ce qui ne saurait être suffisant pour s’écarter des conclusions de ce dernier. En effet,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En tout état de cause, force est de constater que les rapports des Drs K______ et J______ ne peuvent se voir reconnaître une quelconque valeur probante. En effet, outre le fait qu’ils ont été établis par des médecins traitants, à la demande de la recourante et postérieurement à la décision entreprise, ce dont il faut tenir compte, ils ne font état d’aucun élément objectif qui aurait été ignoré par le Dr H______ dans son expertise. En outre, ces rapports sont entachés d’un défaut de motivation, les conclusions des Drs K______ et J______ ne faisant l’objet d’aucune explication. Par conséquent, c’est à bon droit que l’intimé a considéré que la recourante est capable de travailler à 100% dans chacune de ses activités habituelles et dans une activité adaptée à ses limitations fonctionnelles, sur la base de l’expertise du Dr H______.</w:t>
      </w:r>
    </w:p>
    <w:p>
      <w:r>
        <w:t>A/724/2017 - 19/20 - Compte tenu du fait que la recourante est capable de travailler à plein temps dans ses activités habituelles d’écrivaine et/ou de promeneuse de chiens, elle ne subit aucune incapacité de gain sur le plan professionnel et ne nécessite la mise en place d’aucune mesure professionnelle. Le degré d’invalidité résultant de la sphère ménagère n’étant dans tous les cas pas suffisant pour ouvrir à lui seul un droit à une rente (cf. consid. 10), les griefs de la recourante doivent être écartés.</w:t>
      </w:r>
    </w:p>
    <w:p>
      <w:r>
        <w:rPr>
          <w:b/>
        </w:rPr>
        <w:t>E. 14</w:t>
      </w:r>
    </w:p>
    <w:p>
      <w:r>
        <w:t>Au vu de ce qui précède, le recours sera rejeté. Etant donné que Depuis le 1er juillet 2006, la procédure n'est plus gratuite (art. 69 al. 1bis LAI), il y a lieu de condamner la recourante au paiement d'un émolument de CHF 200.-.* Le recourant étant cependant au bénéfice de l’assistance juridique (art. 13 al. 1 du règlement sur les frais, émoluments et indemnités en procédure administrative du 30 juillet 1986 CRFPA-E 5 10.03J), il convient de renoncer à la perception d’un émolument. *Rectification d’une erreur matérielle (art. 85 LPA) le 12 juillet 2018/TOD/ipo</w:t>
      </w:r>
    </w:p>
    <w:p>
      <w:r>
        <w:t>A/724/2017 - 20/20 -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