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ATAS/998/2011 vom 25. Oktober 2011</w:t>
      </w:r>
    </w:p>
    <w:p>
      <w:r>
        <w:t>GE Cour de justice, 2011-10-25, FR</w:t>
      </w:r>
    </w:p>
    <w:p>
      <w:r>
        <w:rPr>
          <w:b/>
        </w:rPr>
        <w:t xml:space="preserve">Quelle: </w:t>
      </w:r>
      <w:r>
        <w:t>https://mcp.opencaselaw.ch/entscheid/ge_gerichte_ATAS_998_2011</w:t>
      </w:r>
    </w:p>
    <w:p>
      <w:r>
        <w:t>FR: GE_GERICHTE ATAS/998/2011 du 25 octobre 2011</w:t>
      </w:r>
    </w:p>
    <w:p>
      <w:r>
        <w:t>IT: GE_GERICHTE ATAS/998/2011 del 25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de l'assuré à une mesure de reclassement dans une nouvelle profession, ou à l'octroi d'une rente.</w:t>
      </w:r>
    </w:p>
    <w:p>
      <w:r>
        <w:rPr>
          <w:b/>
        </w:rPr>
        <w:t>E. 4</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au moins.</w:t>
      </w:r>
    </w:p>
    <w:p>
      <w:r>
        <w:t>A/1926/2011 - 6/11 -</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 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 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w:t>
      </w:r>
    </w:p>
    <w:p>
      <w:r>
        <w:t>A/1926/2011 - 7/11 - (ATF 125 V 351 consid. 3b/cc et les références ; RJJ 1995, p. 44 ; RCC 1988 p. 504 consid. 2). Enfin,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w:t>
      </w:r>
    </w:p>
    <w:p>
      <w:r>
        <w:rPr>
          <w:b/>
        </w:rPr>
        <w:t>E. 6</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w:t>
      </w:r>
    </w:p>
    <w:p>
      <w:r>
        <w:t>A/1926/2011 - 8/11 -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Selon la circulaire de l’Office fédéral des assurances sociales sur les mesures de réadaptation d’ordre professionnel (CMRP), sont considérés comme reclassement (chiffre n° 4021) : l’accomplissement d’un apprentissage ou d’une formation élémentaire selon la loi sur la formation professionnelle ; la fréquentation d’une école secondaire supérieure, d’une école professionnelle ou d’une université ; la fréquentation de cours spécialisés ou de perfectionnement ; les préparatifs en vue d’une mesure professionnelle proprement dite, pour autant qu’il s’agisse de dispositions ciblées entrant dans le cadre d’un plan de réadaptation concret ; la rééducation dans le métier exercé avant la survenance de l’invalidité (art. 17, 2e al., LAI) ; la réadaptation dans un autre domaine d’activité ; le recyclage dans les travaux habituels accomplis avant la survenance de l’invalidité (par ex. les travaux ménagers) ; la préparation à un travail auxiliaire sur le marché libre ou à une autre activité dans un atelier protégé.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w:t>
      </w:r>
    </w:p>
    <w:p>
      <w:r>
        <w:rPr>
          <w:b/>
        </w:rPr>
        <w:t>E. 7</w:t>
      </w:r>
    </w:p>
    <w:p>
      <w:r>
        <w:t>En l'espèce, il n'est pas contesté que l'assuré ne puisse plus exercer la profession de chauffeur. Le Dr M_________ a estimé, le 26 octobre 2010, que l'assuré pourrait exercer une activité lucrative adaptée ne représentant ni un danger pour lui-même, ni pour son entourage, limitée au matin. C'est ainsi que l'OAI a retenu une capacité de travail de 50% dans une activité adaptée, soit sans conduite automobile, sans</w:t>
      </w:r>
    </w:p>
    <w:p>
      <w:r>
        <w:t>A/1926/2011 - 9/11 - utilisation de machines à moteur, sans exposition au froid ou au stress et se déroulant plutôt le matin. L'assuré reproche à l'OAI de n'avoir pas correctement évalué sa capacité de travail résiduelle, de n'avoir pas déterminé quel type d'activité adaptée il pourrait exercer et d'avoir mal calculé son degré d'invalidité.</w:t>
      </w:r>
    </w:p>
    <w:p>
      <w:r>
        <w:rPr>
          <w:b/>
        </w:rPr>
        <w:t>E. 8</w:t>
      </w:r>
    </w:p>
    <w:p>
      <w:r>
        <w:t>La Cour de céans relève à cet égard que selon le Dr M_________, l'insomnie d'endormissement et de maintien restait un problème, même si le symptôme d'apnée du sommeil avait été traité de manière efficace et que les mouvements périodiques des membres inférieurs n'avaient probablement plus d'effet sur la capacité de travail. A cet égard, le Dr O_________ a précisé que l'assuré continuait de se réveiller vers 02h00. Tant le Dr N_________ que le Dr O_________ ont fait état d'un état dépressif, voire d'un contexte psychologique jouant un rôle très important et qui nécessiterait une prise en charge spécialisée. Or, aucune instruction n'a été menée sur cet aspect de l'état de santé de l'assuré. L'assuré se plaint par ailleurs de douleurs aux membres inférieurs, plus particulièrement aux mollets, au sujet desquelles il n'y a pas eu non plus d'investigation. La Cour de céans rappelle par ailleurs qu'il avait été envisagé, dans le cadre de l'examen des mesures d'ordre professionnel, de mettre en place une mesure d'orientation professionnelle de type EPI, en mars 2010. Il y avait été renoncé en l'état, l'état de santé n'étant pas stabilisé. Il en a encore été question en octobre 2010, l'OAI concluant cependant à ce qu'aucune mesure de réadaptation d'ordre professionnel n'était possible en l'état.</w:t>
      </w:r>
    </w:p>
    <w:p>
      <w:r>
        <w:rPr>
          <w:b/>
        </w:rPr>
        <w:t>E. 9</w:t>
      </w:r>
    </w:p>
    <w:p>
      <w:r>
        <w:t>Il convient à ce stade de rappeler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t>A/1926/2011 - 10/11 - En l'état actuel du dossier, il apparaît ainsi que des investigations médicales complémentaires sont nécessaires pour déterminer la capacité de travail de l'assuré, qu'au surplus aucune instruction portant sur des mesures d'ordre professionnel (observations et orientation) n'a été faite. Or, le taux d’invalidité d'ores et déjà reconnu à l'assuré par l’OAI, à savoir 47 %, ne fait pas obstacle à l’octroi de mesures professionnelles puisqu’il est supérieur au taux minimal jurisprudentiel rappelé plus haut. La cause n'étant pas suffisamment instruite pour permettre à la Cour de céans de se prononcer, il convient de la renvoyer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w:t>
      </w:r>
    </w:p>
    <w:p>
      <w:r>
        <w:rPr>
          <w:b/>
        </w:rPr>
        <w:t>E. 10</w:t>
      </w:r>
    </w:p>
    <w:p>
      <w:r>
        <w:t>Eu égard aux considérations qui précèdent, le recours est admis en ce sens que la cause est renvoyée à l'intimé pour instruction médicale complémentaire, mise en place de mesures d'observation et d'orientation, suivies d'un examen de mesures de réadaptation le cas échéant, et nouvelle décision.</w:t>
      </w:r>
    </w:p>
    <w:p>
      <w:r>
        <w:t>A/1926/2011 - 11/11 -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