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ATAS/997/2022 vom 15. November 2022</w:t>
      </w:r>
    </w:p>
    <w:p>
      <w:r>
        <w:t>GE Cour de justice, 2022-11-15, FR</w:t>
      </w:r>
    </w:p>
    <w:p>
      <w:r>
        <w:rPr>
          <w:b/>
        </w:rPr>
        <w:t xml:space="preserve">Quelle: </w:t>
      </w:r>
      <w:r>
        <w:t>https://mcp.opencaselaw.ch/entscheid/ge_gerichte_ATAS_997_2022</w:t>
      </w:r>
    </w:p>
    <w:p>
      <w:r>
        <w:t>FR: GE_GERICHTE ATAS/997/2022 du 15 novembre 2022</w:t>
      </w:r>
    </w:p>
    <w:p>
      <w:r>
        <w:t>IT: GE_GERICHTE ATAS/997/2022 del 15 novembre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w:t>
      </w:r>
    </w:p>
    <w:p>
      <w:r>
        <w:t>- 3/5-</w:t>
      </w:r>
    </w:p>
    <w:p>
      <w:r>
        <w:t>A/3205/2022</w:t>
      </w:r>
    </w:p>
    <w:p>
      <w:r>
        <w:rPr>
          <w:b/>
        </w:rPr>
        <w:t>E. 5</w:t>
      </w:r>
    </w:p>
    <w:p>
      <w:r>
        <w:t>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w:t>
      </w:r>
    </w:p>
    <w:p>
      <w:r>
        <w:rPr>
          <w:b/>
        </w:rPr>
        <w:t>E. 6</w:t>
      </w:r>
    </w:p>
    <w:p>
      <w:r>
        <w:t>Selon l'art. 89B al. 1 LPA applicable à la procédure devant la Chambre des assurances sociales, la demande ou le recours est adressé en deux exemplaires soit par une lettre, soit par un mémoire signé comportant: les noms, prénoms, domicile ou résidence des parties ou, s'il s'agit d'une personne morale, toute autre désignation précise (let. a); un exposé succinct des faits ou des motifs invoqués (let. b); des conclusions (let. c). L'art. 89B al. 3 LPA précise que si la lettre ou le mémoire n'est pas conforme à ces règles, la Chambre des assurances sociales impartit un délai convenable à son auteur pour le compléter en indiquant qu'en cas d'inobservation la demande ou le recours est écarté.</w:t>
      </w:r>
    </w:p>
    <w:p>
      <w:r>
        <w:rPr>
          <w:b/>
        </w:rPr>
        <w:t>E. 7</w:t>
      </w:r>
    </w:p>
    <w:p>
      <w:r>
        <w:t>Pour des raisons de sécurité, un acte de recours doit être muni de la signature originale de son auteur, si bien que l'acte sur lequel la signature figure sous forme dactylographiée ou photocopiée n'est pas considéré comme valable (ATF 121 II 254 consid. 3 et les références; 112 Ia 173 consid. 1).</w:t>
      </w:r>
    </w:p>
    <w:p>
      <w:r>
        <w:rPr>
          <w:b/>
        </w:rPr>
        <w:t>E. 8</w:t>
      </w:r>
    </w:p>
    <w:p>
      <w:r>
        <w:t>S’agissant des délais de recours, ils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9</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10</w:t>
      </w:r>
    </w:p>
    <w:p>
      <w:r>
        <w:t>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w:t>
      </w:r>
    </w:p>
    <w:p>
      <w:r>
        <w:t>- 4/5-</w:t>
      </w:r>
    </w:p>
    <w:p>
      <w:r>
        <w:t>A/3205/2022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w:t>
      </w:r>
    </w:p>
    <w:p>
      <w:r>
        <w:rPr>
          <w:b/>
        </w:rPr>
        <w:t>E. 11</w:t>
      </w:r>
    </w:p>
    <w:p>
      <w:r>
        <w:t>De jurisprudence constante, celui qui se sait partie à une procédure judiciaire et qui doit dès lors s'attendre à recevoir des actes du juge est tenu de relever son courrier ou, s'il s'absente de son domicile, de prendre des dispositions pour que celui-ci lui parvienne néanmoins; à défaut, il est réputé avoir eu connaissance, à l'échéance du délai de garde, du contenu des plis recommandés que le juge lui adresse (ATF 141 II 429 consid. 3.1 p. 431 s.; 139 IV 228 consid. 1.1 p. 230).</w:t>
      </w:r>
    </w:p>
    <w:p>
      <w:r>
        <w:rPr>
          <w:b/>
        </w:rPr>
        <w:t>E. 12</w:t>
      </w:r>
    </w:p>
    <w:p>
      <w:r>
        <w:t>En l'occurrence, l’acte déposé par le recourant au greffe de la chambre de céans le 3 octobre 2022 ne comporte pas de signature originale du recourant. Une simple copie est par définition dénuée de la signature originale du recourant, de sorte qu'elle ne répond pas aux conditions formelles de recevabilité posées par le droit cantonal et la jurisprudence. Malgré le délai accordé par la chambre de céans au recourant pour corriger le vice en signant son recours, le recourant ne l’a pas corrigé. Le recours est dès lors irrecevable à la forme.</w:t>
      </w:r>
    </w:p>
    <w:p>
      <w:r>
        <w:rPr>
          <w:b/>
        </w:rPr>
        <w:t>E. 13</w:t>
      </w:r>
    </w:p>
    <w:p>
      <w:r>
        <w:t>En outre, le recours a été déposé à la chambre de céans au-delà du délai légal de 30 jours suivant sa notification au recourant. La décision attaquée a été envoyée par pli recommandé du 23 août 2022 au recourant, lequel en a été avisé le 24 août 2022. Ce pli - bien qu’il pouvait être retiré jusqu’au le 31 août 2022, ce dont le recourant avait également été avisé, - n’a pas été retiré, de sorte qu’il est réputé avoir été reçu le dernier jour dudit délai, le 31 août 2022. Le délai de recours courrait dès lors jusqu’au 30 septembre 2022. Déposé au greffe de la chambre de céans, le 3 octobre 2022, le recours est tardif donc également irrecevable pour ce motif. Pour le surplus, la procédure est gratuite.</w:t>
      </w:r>
    </w:p>
    <w:p>
      <w:r>
        <w:t>- 5/5-</w:t>
      </w:r>
    </w:p>
    <w:p>
      <w:r>
        <w:t>A/3205/2022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