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ATAS/997/2014 vom 15. September 2014</w:t>
      </w:r>
    </w:p>
    <w:p>
      <w:r>
        <w:t>GE Cour de justice, 2014-09-15, FR</w:t>
      </w:r>
    </w:p>
    <w:p>
      <w:r>
        <w:rPr>
          <w:b/>
        </w:rPr>
        <w:t xml:space="preserve">Quelle: </w:t>
      </w:r>
      <w:r>
        <w:t>https://mcp.opencaselaw.ch/entscheid/ge_gerichte_ATAS_997_2014</w:t>
      </w:r>
    </w:p>
    <w:p>
      <w:r>
        <w:t>FR: GE_GERICHTE ATAS/997/2014 du 15 septembre 2014</w:t>
      </w:r>
    </w:p>
    <w:p>
      <w:r>
        <w:t>IT: GE_GERICHTE ATAS/997/2014 del 15 settembre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A/926/2014 - 16/25 - modification du point de vue de leur contenu, de sorte que la jurisprudence développée à leur propos peut être reprise et appliquée (ATF 130 V 343 consid. 3).</w:t>
      </w:r>
    </w:p>
    <w:p>
      <w:r>
        <w:rPr>
          <w:b/>
        </w:rPr>
        <w:t>E. 3</w:t>
      </w:r>
    </w:p>
    <w:p>
      <w:r>
        <w:t>Le délai de recours est de 30 jours (art. 56 et 60 LPGA; art. 62 al. 1 de la de loi sur la procédure administrative du 12 septembre 1985; LPA - E 5 10). Interjeté dans la forme et le délai prévus par la loi, le recours est recevable.</w:t>
      </w:r>
    </w:p>
    <w:p>
      <w:r>
        <w:rPr>
          <w:b/>
        </w:rPr>
        <w:t>E. 4</w:t>
      </w:r>
    </w:p>
    <w:p>
      <w:r>
        <w:t>Le litige porte sur la question de savoir si les troubles actuels sont en lien de causalité avec l'accident du 8 décembre 2012 et, préalablement, si l’intimé a violé le droit d’être entendu de la recourante lors de la mise en œuvre de l’expertise.</w:t>
      </w:r>
    </w:p>
    <w:p>
      <w:r>
        <w:rPr>
          <w:b/>
        </w:rPr>
        <w:t>E. 5</w:t>
      </w:r>
    </w:p>
    <w:p>
      <w:r>
        <w:t>Par un moyen de nature formelle qu'il convient d'examiner en premier lieu, la recourante se plaint d'une violation de son droit d'être entendu (art. 29 al. 2 de la Constitution fédérale de la Confédération suisse du 18 avril 1999 [Cst.; RS 101]) lors de la mise sur pied de l’expertise.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ATF 135 II 286 consid. 5.1; ATF 132 V 368 consid. 3.1).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ATF 126 V 131 consid. 2b et les références). En vertu de l’art. 44 LPGA, si l'assureur doit recourir aux services d'un expert indépendant pour élucider les faits, il donne connaissance du nom de celui-ci aux parties. Celles-ci peuvent récuser l'expert pour des raisons pertinentes et présenter des contre-propositions. Lorsque l'assureur-accidents ordonne une expertise avant de rendre une décision au sens de l'art. 49 LPGA, il doit respecter le droit de l'assuré d'être entendu à ce stade déjà, sans attendre la phase - éventuelle - de la procédure d'opposition prévue par l'art. 52 LPGA. S'il omet de le faire, privant ainsi l'assuré de la faculté d'exercer ses droits de participation à l'établissement d'une expertise, le vice de procédure ne peut être réparé, du moins lorsque l'expertise constitue l'élément central et prépondérant de l'instruction (ATF 120 V 357 consid. 2b; RAMA 2000 n° U 369 p. 104 consid. 2b, 1996 n° U 265 p. 294 consid. 3c).</w:t>
      </w:r>
    </w:p>
    <w:p>
      <w:r>
        <w:rPr>
          <w:b/>
        </w:rPr>
        <w:t>E. 6</w:t>
      </w:r>
    </w:p>
    <w:p>
      <w:r>
        <w:t>A l’ATF 137 V 210 consid. 3, le Tribunal fédéral a instauré de nouveaux principes visant à consolider le caractère équitable des procédures administratives et de</w:t>
      </w:r>
    </w:p>
    <w:p>
      <w:r>
        <w:t>A/926/2014 - 17/25 -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RS 0.101]; ATF 137 V 210 consid. 3.2.4.6 et 3.2.4.9). Il est notamment revenu sur la jurisprudence de l’ATF 132 V 93 selon laquelle la mise en œuvre d’une expertise par l’assureur social ne revêtait pas le caractère d’une décision. Il a jugé qu’en l’absence d’accord entre les parties, une telle mise en œuvre doit revêtir la forme d’une décision au sens de l'art. 49 LPGA correspondant à la notion de décision selon l’art. 5 PA de la loi fédérale sur la procédure administrative du 20 décembre 1968 (PA; RS 172.021) laquelle peut être attaquée devant les tribunaux cantonaux des assurances sociales respectivement le Tribunal administratif fédéral (ATF 137 V 210 consid. 3.4.2.6 et 3.4.2.7). Il a modifié la jurisprudence de l'ATF 133 V 446 en ce sens que l'assuré a le droit de se déterminer préalablement sur les questions à l'attention des experts dans le cadre de la décision de mise en œuvre de l'expertise (ATF 137 V 210 consid 3.4.2.9). Dans des arrêts ultérieurs, il a indiqué que ces principes et recommandations sont également applicables par analogie aux expertises mono- et bidisciplinaires (ATF 139 V 349 consid. 5.4) et dans le domaine de l'assurance-accidents, étant précisé que la personne assurée bénéficie des droits de participation antérieurs en ce sens qu'elle peut s'exprimer sur les questions posées à l'expert (ATF 138 V 318 consid. 6.1).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Il a également considéré qu’il convient d’accorder une importance plus grande que cela a été le cas jusqu’ici, à la mise en œuvre consensuelle d’une expertise, en s'inspirant notamment de l’art. 93 de la loi fédérale sur l’assurance militaire du 19 juin 1992 (LAM;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w:t>
      </w:r>
    </w:p>
    <w:p>
      <w:r>
        <w:t>A/926/2014 - 18/25 -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l'assureur ordonnera une expertise, en rendant une décision qui pourra être attaquée par l'assuré (ATF 138 V 271 consid. 1.1). Le Tribunal fédéral a encore récemment rappelé que depuis l'ATF 137 V 210, il existe en principe une obligation de la part de l’assureur de s'efforcer à mettre en œuvre une expertise consensuelle avant de rendre une décision (Arrêt du Tribunal fédéral 9C_908/2012 du 22 février 2013 consid. 5.1).</w:t>
      </w:r>
    </w:p>
    <w:p>
      <w:r>
        <w:rPr>
          <w:b/>
        </w:rPr>
        <w:t>E. 7</w:t>
      </w:r>
    </w:p>
    <w:p>
      <w:r>
        <w:t>L'Office fédéral des assurances sociales a édité des dispositions d'exécution de cette nouvelle pratique aux pages 41 ss de la Circulaire sur la procédure dans l'assurance- invalidité (CPAI). Le mandat d’expertise et la convocation à l’expertise médicale sont communiqués sans indication des voies de recours. La communication indique le type d’expertise (monodisciplinaire, bidisciplinaire ou pluridisciplinaire) et les disciplines médicales prévues. Il faut y joindre la liste de questions et mentionner la possibilité pour l’assuré de remettre à l’office AI, par écrit, des questions supplémentaires. Pour les expertises monodisciplinaires ou bidisciplinaires, il faut indiquer le nom et le titre médical professionnel de la personne ou des personnes chargées de l’expertise. Un délai de dix jours est accordé à l’assuré pour formuler des objections contre l'expertise et les disciplines médicales prévues et remettre des questions supplémentaires. Ce délai peut être prolongé sur demande écrite et motivée. La personne assurée peut aussi soulever des objections de nature formelle ou matérielle (notamment les suivantes si l'expert a un intérêt personnel dans l'affaire; s’il est parent ou allié en ligne directe, ou jusqu'au troisième degré en ligne collatérale, d'une partie ou encore lié avec elle par mariage, fiançailles ou adoption; si l'expert est impliqué dans l'affaire pour d'autres raisons; s’il ne possède pas les compétences professionnelles nécessaires; s’il faut demander une expertise dans une autre spécialité; si les fais sont suffisamment éclaircis, si bien qu'une autre expertise est superflue). L'Office AI doit examiner les objections soulevées (cf. CPAI, p. 43 et p. 45 n° 2081 ss).</w:t>
      </w:r>
    </w:p>
    <w:p>
      <w:r>
        <w:rPr>
          <w:b/>
        </w:rPr>
        <w:t>E. 8</w:t>
      </w:r>
    </w:p>
    <w:p>
      <w:r>
        <w:t>Enfin, la Cour de céans a jugé qu'indépendamment des griefs invoqués par l'assuré à l'encontre de l'expert, la cause devait être renvoyée à l’assureur, au motif que ce dernier n'avait pas essayé de parvenir à un accord avec l'assuré sur le choix de l'expert, ce qui violait les droits de participation de l'assuré dans la procédure de désignation de l'expert (ATAS/226/2013 et ATAS/263/2013). Dans ce dernier arrêt, la Cour de céans a également précisé que ce n'est pas uniquement en présence de justes motifs de récusation à l'encontre de l'expert que l'assuré peut émettre des contre-propositions.</w:t>
      </w:r>
    </w:p>
    <w:p>
      <w:r>
        <w:t>A/926/2014 - 19/25 - Dans un arrêt récent (ATAS/598/2014 du 8 mars 2014), rendu en application de l’art. 133 al. 2 de la loi sur l’organisation judiciaire du 26 septembre 2010 (LOJ ; RS E 2 05), la chambre de céans a considéré que le droit d’être entendu d’une assurée avait été violé, l’assurance n’ayant transmis les informations (nom de l’établissement chargé de l’expertise médicale, les questions soumises à l’expert avec un délai pour faire part de ses éventuelles remarques, délai que la recourante n’avait pas utilisé. Puis, un mois avant l’expertise, le nom des experts et la date des examens, sans que la patiente ne formule de remarques) qu’à la recourante alors qu’elle était représentée par un mandataire, avec élection de domicile. En privant la recourante de ses droits de participation à l’établissement d’une expertise déterminante pour statuer sur son droit aux prestations, la violation du droit d’être entendu ne pouvait pas être réparée. L’assurance avait privé le conseil de la recourante de la faculté de connaître les questions posées à l’expert et de formuler ses propres questions vidant ainsi de leur substance les nouvelles exigences procédurales qui visent à renforcer le caractère équitable de la procédure administrative. De plus, en ne communiquant pas les noms des experts au conseil de la recourante, il avait également empêché celui-ci de se prononcer sur le choix des experts et d’émettre des contre-propositions; partant il avait violé son obligation de tendre à mettre en œuvre une expertise consensuelle. Comme le vice ne pouvait être réparé à ce stade de la procédure, l’expertise ne pouvait pas être considérée comme un moyen de preuve approprié et les décisions fondées sur celle-ci devaient être annulées. La mise en œuvre de l’expertise devait être reprise « ab initio » afin que les experts soient choisis après discussions entre les parties.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la convocation de l’assuré comprenait clairement les noms et les spécialités des médecins. La lettre de la clinique précisait en outre que l’assuré pouvait demander le changement d’expert s’il le souhaitait, ce qu’il n’a pas demandé. La lettre adressée par l’assureur au patient comprenait, en annexe, les questions que la ZURICH ASSURANCES SA entendait poser à l’expert. La correspondance comprenait explicitement la mention selon laquelle l’expertisé pouvait, s’il le souhaitait, poser des questions complémentaires. Il avait pour seule obligation d’en</w:t>
      </w:r>
    </w:p>
    <w:p>
      <w:r>
        <w:t>A/926/2014 - 20/25 - informer l’assurance afin qu’elle puisse les ajouter sur le formulaire adressé à la clinique. L’assuré n’a pas souhaité formuler d’autres questions. A aucun moment l’assuré n’a réagi dans le processus de mise en œuvre de l’expertise alors que les correspondances tant de la clinique CORELA que de l’assureur avaient attiré son attention sur la possibilité qui lui était donnée de participer. Dans ces conditions il ne peut pas être retenu que le droit d’être entendu de l’assuré ait été violé. Le grief de violation du droit d’entre entendu est infondé.</w:t>
      </w:r>
    </w:p>
    <w:p>
      <w:r>
        <w:rPr>
          <w:b/>
        </w:rPr>
        <w:t>E. 11</w:t>
      </w:r>
    </w:p>
    <w:p>
      <w:r>
        <w:t>Les conclusions du recourant tendant à considérer que le rapport de la clinique CORELA ne remplit pas les conditions de l’expertise compte tenu des violations des droits de M. A______ lors de sa mise en œuvre ne sont, pour les mêmes motifs, pas fondées.</w:t>
      </w:r>
    </w:p>
    <w:p>
      <w:r>
        <w:rPr>
          <w:b/>
        </w:rPr>
        <w:t>E. 12</w:t>
      </w:r>
    </w:p>
    <w:p>
      <w:r>
        <w:t>Reste à analyser la force probante de l’expertise, remise en cause par le recourant au vu des certificats médicaux qu’il a produits.</w:t>
      </w:r>
    </w:p>
    <w:p>
      <w:r>
        <w:rPr>
          <w:b/>
        </w:rPr>
        <w:t>E. 13</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ATF non publié du 22 octobre 2008, 8C_628/2007). b)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w:t>
      </w:r>
    </w:p>
    <w:p>
      <w:r>
        <w:t>A/926/2014 - 21/25 - paraissant de façon générale favorisée par une telle circonstance (ATF 129 V 177 consid. 3.2 et la référence; ATF non publié du 22 octobre 2008, 8C_628/2007), au point que le dommage puisse encore équitablement être mis à la charge de l'assurance-accidents eu égard aux objectifs poursuivis par la LAA (cf. ATF 123 V 98 consid. 3 et les références).</w:t>
      </w:r>
    </w:p>
    <w:p>
      <w:r>
        <w:rPr>
          <w:b/>
        </w:rPr>
        <w:t>E. 14</w:t>
      </w:r>
    </w:p>
    <w:p>
      <w:r>
        <w:t>En vertu de l'art. 36 al. 1 LAA, les prestations pour soins, les remboursements de frais ainsi que les indemnités journalières et les allocations pour impotent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(ATFA non publié du 14 février 2006, U 351/04 et les références).</w:t>
      </w:r>
    </w:p>
    <w:p>
      <w:r>
        <w:rPr>
          <w:b/>
        </w:rPr>
        <w:t>E. 15</w:t>
      </w:r>
    </w:p>
    <w:p>
      <w:r>
        <w:t>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du 30 novembre 2004, U 222/04; du 14 octobre 2004, U 66/04; du 4 octobre 2004, U 159/04 et du 20 décembre 2005, U/359/04).</w:t>
      </w:r>
    </w:p>
    <w:p>
      <w:r>
        <w:rPr>
          <w:b/>
        </w:rPr>
        <w:t>E. 16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w:t>
      </w:r>
    </w:p>
    <w:p>
      <w:r>
        <w:t>A/926/2014 - 22/25 -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(cf. arrêt du Tribunal fédéral des assurances U 492/00 du 31 juillet 2001, in RAMA 2001 n° U 438 p. 345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17</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A/926/2014 - 23/25 -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18</w:t>
      </w:r>
    </w:p>
    <w:p>
      <w:r>
        <w:t>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 U 363 p. 46).</w:t>
      </w:r>
    </w:p>
    <w:p>
      <w:r>
        <w:rPr>
          <w:b/>
        </w:rPr>
        <w:t>E. 19</w:t>
      </w:r>
    </w:p>
    <w:p>
      <w:r>
        <w:t>En l’espèce, la clinique CORELA a procédé, à la demande de l’intimée, à une expertise pluridisciplinaire. Chacun des trois experts a rencontré l’assuré. Les experts avaient à leur disposition un dossier complet, qui comprenait, en sus du dossier de l’accident du 8 décembre 2012, les rapports médicaux relatifs aux accidents antérieurs, ce qui a permis aux experts d’avoir une vision globale de la situation médicale du patient. Le contenu de tous les rapports médicaux est dûment cité dans l’expertise et n’a pas été contesté par le recourant. Par contre, les rapports des Drs N______ (14 mars 2013), O______ (24 avril 2013), W______ (23 mai 2013) ne sont pas mentionnés comme faisant partie du dossier. Il apparait toutefois à la lecture de l’expertise que les experts étaient en possession de ces rapports, qu’ils citent en détails et discutent. Cette informalité de l’expertise est sans conséquence. Le recourant critique l’apparente contradiction des conclusions des experts entre les dates de reprise de travail. Or, ceux-ci concluent à une totale capacité de travail dès le 8 avril 2013, soit quatre mois après l’accident. Le rapport explique que les experts ont retenu la date du 22 mai 2013 au titre de statu quo ante, n’étant pas en mesure de prouver avant celle-ci l’absence de pathologie. Ils retiennent qu’à compter de cette date, le patient était apte à travailler dès lors que même dans l’hypothèse où la pathologie existait, elle n’empêchait plus, à compter du 8 avril 2013, la pratique professionnelle, l’assuré étant apte à sentir si un vertige survenait. Les rapports des médecins-traitants sont dûment discutés. Ainsi les experts mentionnent que les troubles cognitifs relevés lors du bilan de la Dresse W______ seraient acceptables à distance sur un traumatisme crânien de gravité moyenne, ce qui n’est pas le cas de l’expertisé. Les experts détaillent la classification du MTBI. Même si la Dresse W______ a précisé dans son rapport du 14 octobre 2013 que dans les cas de TCC légers des complications tardives dites classiques pouvaient exister, elle a fait référence aux différents TCC subis par l’assuré. Elle a indiqué qu’il n’était pas impossible que les précédents chocs aient pu fragiliser le patient sur le plan cognitif. L’état anxio-dépressif expliquait aussi probablement pour</w:t>
      </w:r>
    </w:p>
    <w:p>
      <w:r>
        <w:t>A/926/2014 - 24/25 - partie les difficultés. Ainsi sans nier les plaintes de l’assuré, il ne peut être retenu avec le degré de vraisemblance nécessaire au sens de la jurisprudence, que les troubles présentés par celui-ci sont en lien de causalité avec l’accident du 8 décembre 2012. Les rapports de la Dresse N______ se réfèrent aussi aux différents TCC subis par l’assuré. La problématique ORL, abordée par les Dr K______, et M. V______, est longuement discutée dans le rapport d’expertise. Dans son rapport de consultation du 9 octobre 2013, ledit médecin n’adresse pas de critiques à l’encontre des conclusions des experts. Il ne pose pas de diagnostic et n’aborde pas la question du lien de causalité entre les symptômes relevés et l’accident du 8 décembre 2012. En conséquence, il est retenu par la chambre de céans que les points litigieux ont fait l’objet d'une étude fouillée par les experts, que le rapport se fonde sur des examens complets, qu’il prend en considération les plaintes exprimées par l’assuré, que le rapport a été établi en pleine connaissance du dossier (anamnèse), que la description des interférences médicales est claire et que les conclusions des experts sont bien motivées et convaincantes. Le rapport ne contient pas de contradictions. Aucun indice concret ne permet de mettre en cause son bien-fondé. Pleine valeur probante doit être accordée à l’expertise effectuée par la clinique CORELA.</w:t>
      </w:r>
    </w:p>
    <w:p>
      <w:r>
        <w:rPr>
          <w:b/>
        </w:rPr>
        <w:t>E. 20</w:t>
      </w:r>
    </w:p>
    <w:p>
      <w:r>
        <w:t>La décision litigieuse, reprenant les termes de l’expertise, est fondée.</w:t>
      </w:r>
    </w:p>
    <w:p>
      <w:r>
        <w:rPr>
          <w:b/>
        </w:rPr>
        <w:t>E. 21</w:t>
      </w:r>
    </w:p>
    <w:p>
      <w:r>
        <w:t>Le recours doit ainsi être rejeté.</w:t>
      </w:r>
    </w:p>
    <w:p>
      <w:r>
        <w:rPr>
          <w:b/>
        </w:rPr>
        <w:t>E. 22</w:t>
      </w:r>
    </w:p>
    <w:p>
      <w:r>
        <w:t>Le recourant, qui succombe, n’a pas droit à une indemnité de dépens. Pour le surplus, la procédure est gratuite (art. 61 let. a et g LPGA).</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