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ATAS/995/2024 vom 12. Dezember 2024</w:t>
      </w:r>
    </w:p>
    <w:p>
      <w:r>
        <w:t>GE Cour de justice, 2024-12-12, FR</w:t>
      </w:r>
    </w:p>
    <w:p>
      <w:r>
        <w:rPr>
          <w:b/>
        </w:rPr>
        <w:t xml:space="preserve">Quelle: </w:t>
      </w:r>
      <w:r>
        <w:t>https://mcp.opencaselaw.ch/entscheid/ge_gerichte_ATAS_995_2024</w:t>
      </w:r>
    </w:p>
    <w:p>
      <w:r>
        <w:t>FR: GE_GERICHTE ATAS/995/2024 du 12 décembre 2024</w:t>
      </w:r>
    </w:p>
    <w:p>
      <w:r>
        <w:t>IT: GE_GERICHTE ATAS/995/2024 del 12 dicembre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30 jours (art. 56 LPGA ; art. 62 al. 1 de la loi sur la procédure administrative du 12 septembre 1985 [LPA - E 5 10]). Il sied d’examiner préalablement la recevabilité du recours, dès lors que l’intimé fait valoir la tardiveté de ce dernier. La décision querellée porte la date du 15 novembre 2022, elle a été notifiée sous pli simple, de telle manière qu’il n’est pas possible de déterminer avec précision le moment où elle a été notifiée à l’assurée. S’y ajoute le fait que l’assurée est représentée par un avocat qui s’est constitué après que le projet de décision a été rendu et a informé l’OAI de sa constitution avec élection de domicile, par pli recommandé du 14 octobre 2021. Il s’ensuit que la décision querellée devait être notifiée à l’avocat de l’assurée, suite à sa constitution de domicile ; ladite constitution n’a pas été respectée par l’intimé lorsqu’il a notifié la décision du 15 novembre 2022 directement à l’assurée. Cette violation de l’élection de domicile constitue une notification irrégulière d’une décision, qui ne doit pas entraîner un préjudice pour l’assurée, conformément à l’art. 49 al. 3 LPGA. De surcroît, l’intimé supporte le fardeau de la preuve de la date de notification de la décision ; en l’état, l’OAI est incapable de démontrer, au degré de la vraisemblance prépondérante, que sa décision a été notifiée à une date qui rendrait tardif le recours. Partant, la chambre de céans considère que le recours a été interjeté dans la forme et le délai prévus par la loi, compte tenu de la suspension des délais pendant la période du 18 décembre au 2 janvier inclusivement (art. 38 al. 4 let. c LPGA et art. 89C let. c LPA), et qu’il est recevable.</w:t>
      </w:r>
    </w:p>
    <w:p>
      <w:r>
        <w:rPr>
          <w:b/>
        </w:rPr>
        <w:t>E. 2</w:t>
      </w:r>
    </w:p>
    <w:p>
      <w:r>
        <w:t>Le litige porte sur le bien-fondé de la décision de l’OAI du 15 novembre 2022 dans la mesure où l’OAI réduit la rente entière de l’assurée à une demi-rente d’invalidité, dès le 1er août 2019.</w:t>
      </w:r>
    </w:p>
    <w:p>
      <w:r>
        <w:t>A/87/2023 - 10/27 -</w:t>
      </w:r>
    </w:p>
    <w:p>
      <w:r>
        <w:rPr>
          <w:b/>
        </w:rPr>
        <w:t>E. 3.1</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132 V 215 consid. 3.1.1 et les références). En l’occurrence, la décision querellée se fonde sur un complexe de faits antérieur au 1er janvier 2022, de sorte que les dispositions légales applicables seront citées dans leur ancienne teneur.</w:t>
      </w:r>
    </w:p>
    <w:p>
      <w:r>
        <w:rPr>
          <w:b/>
        </w:rPr>
        <w:t>E. 3.2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4.1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I 786/04 du 19 janvier 2006 consid. 3.1).</w:t>
      </w:r>
    </w:p>
    <w:p>
      <w:r>
        <w:t>A/87/2023 - 11/27 -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141 V 281 consid. 2.1 et 2.1.1 ; 130 V 396 consid. 5.3 et 6).</w:t>
      </w:r>
    </w:p>
    <w:p>
      <w:r>
        <w:rPr>
          <w:b/>
        </w:rPr>
        <w:t>E. 4.2</w:t>
      </w:r>
    </w:p>
    <w:p>
      <w:r>
        <w:t>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132 V 65 consid. 4.2.2 ; arrêt du Tribunal fédéral 9C_16/2016 du 14 juin 2016 consid. 3.2).</w:t>
      </w:r>
    </w:p>
    <w:p>
      <w:r>
        <w:rPr>
          <w:b/>
        </w:rPr>
        <w:t>E. 4.3</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w:t>
      </w:r>
    </w:p>
    <w:p>
      <w:r>
        <w:t>A/87/2023 - 12/27 -</w:t>
      </w:r>
    </w:p>
    <w:p>
      <w:r>
        <w:rPr>
          <w:b/>
        </w:rPr>
        <w:t>E. 4.4</w:t>
      </w:r>
    </w:p>
    <w:p>
      <w:r>
        <w:t>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 4.3 et la référence ; arrêt du Tribunal fédéral 9C_724/2018 du 11 juillet 2019 consid. 7). En l’absence d’un diagnostic psychiatrique, une telle appréciation n’a pas non plus à être effectuée (arrêt du Tribunal fédéral 9C_176/2018 du 16 août 2018 consid. 3.2.2).</w:t>
      </w:r>
    </w:p>
    <w:p>
      <w:r>
        <w:rPr>
          <w:b/>
        </w:rPr>
        <w:t>E. 4.5</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w:t>
      </w:r>
    </w:p>
    <w:p>
      <w:r>
        <w:t>A/87/2023 - 13/27 -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À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 3. Comorbidités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 comorbidité »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le référence). Il est nécessaire de procéder à une approche globale de l’influence du trouble avec l’ensemble des pathologies concomitantes. Une atteinte qui, selon la jurisprudence, ne peut pas être invalidante en tant que telle (cf. ATF 141 V 281 consid. 4.3.1.2 ;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w:t>
      </w:r>
    </w:p>
    <w:p>
      <w:r>
        <w:t>A/87/2023 - 14/27 -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 cf. ATF 141 V 281 consid. 4.3.2). Étant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w:t>
      </w:r>
    </w:p>
    <w:p>
      <w:r>
        <w:t>A/87/2023 - 15/27 -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À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w:t>
      </w:r>
    </w:p>
    <w:p>
      <w:r>
        <w:t>A/87/2023 - 16/27 -</w:t>
      </w:r>
    </w:p>
    <w:p>
      <w:r>
        <w:rPr>
          <w:b/>
        </w:rPr>
        <w:t>E. 4.6</w:t>
      </w:r>
    </w:p>
    <w:p>
      <w:r>
        <w:t>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 Dans l'ATF 143 V 409 consid. 4.2, le Tribunal fédéral a rappelé que le fait qu'une atteinte à la santé psychique puisse être influencée par un traitement ne suffit pas, à lui seul, pour nier le caractère invalidant de celle-ci ; la question déterminante est en effet celle de savoir si la limitation établie médicalement empêche, d'un point de vue objectif, la personne assurée d'effectuer une prestation de travail. À cet égard, toutes les affections psychiques doivent en principe faire l'objet d'une procédure probatoire structurée au sens de l'ATF 141 V 281 (ATF 143 V 418 consid. 6 et 7 et les références). Ainsi, le caractère invalidant des 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w:t>
      </w:r>
    </w:p>
    <w:p>
      <w:r>
        <w:rPr>
          <w:b/>
        </w:rPr>
        <w:t>E. 4.7</w:t>
      </w:r>
    </w:p>
    <w:p>
      <w:r>
        <w:t>Des traits de personnalité signifient que les symptômes constatés ne sont pas suffisants pour retenir l’existence d’un trouble spécifique de la personnalité. Ils n'ont, en principe, pas valeur de maladie psychiatrique et ne peuvent, en principe, fonder une incapacité de travail en droit des assurances au sens des art. 4 al. 1 LAI et 8 LPGA (arrêt du Tribunal fédéral 9C_369/2019 du 17 mars 2020 consid. 5.3 et les références).</w:t>
      </w:r>
    </w:p>
    <w:p>
      <w:r>
        <w:t>A/87/2023 - 17/27 -</w:t>
      </w:r>
    </w:p>
    <w:p>
      <w:r>
        <w:rPr>
          <w:b/>
        </w:rPr>
        <w:t>E. 5.1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w:t>
      </w:r>
    </w:p>
    <w:p>
      <w:r>
        <w:rPr>
          <w:b/>
        </w:rPr>
        <w:t>E. 5.2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w:t>
      </w:r>
    </w:p>
    <w:p>
      <w:r>
        <w:rPr>
          <w:b/>
        </w:rPr>
        <w:t>E. 5.3</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w:t>
      </w:r>
    </w:p>
    <w:p>
      <w:r>
        <w:t>A/87/2023 - 18/27 -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135 V 465 consid. 4.4. et les références ; 125 V 351 consid. 3b/aa et les références).</w:t>
      </w:r>
    </w:p>
    <w:p>
      <w:r>
        <w:rPr>
          <w:b/>
        </w:rPr>
        <w:t>E. 5.4</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w:t>
      </w:r>
    </w:p>
    <w:p>
      <w:r>
        <w:rPr>
          <w:b/>
        </w:rPr>
        <w:t>E. 5.5</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w:t>
      </w:r>
    </w:p>
    <w:p>
      <w:r>
        <w:t>A/87/2023 - 19/27 - médicale (art. 44 LPGA) ou d'un examen médical auquel il arrive au SMR de procéder (art. 49 al. 2 du règlement sur l’assurance-invalidité du 17 janvier 1961 [RAI - RS 831.201]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5.6</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5.7</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6.1</w:t>
      </w:r>
    </w:p>
    <w:p>
      <w:r>
        <w:t>Le point de départ de l'évaluation prévue pour les troubles somatoformes douloureux (ATF 141 V 281), les troubles dépressifs (ATF 143 V 409), les autres troubles psychiques (ATF 143 V 418) et les troubles mentaux du comportement liés</w:t>
      </w:r>
    </w:p>
    <w:p>
      <w:r>
        <w:t>A/87/2023 - 20/27 - à l’utilisation de substances psychoactives (ATF 145 V 215) est l'ensemble des éléments médicaux et constatations y relatives. Les experts doivent motiver le diagnostic psychique de telle manière que l'organe d'application du droit puisse comprendre non seulement si les critères de classification sont remplis (ATF 141 V 281 consid. 2.1.1), mais également si la pathologie diagnostiquée présente un degré de gravité susceptible d'occasionner des limitations dans les fonctions de la vie courante (arrêt du Tribunal fédéral 9C_551/2019 du 24 avril 2020 consid. 4.1 et la référence).</w:t>
      </w:r>
    </w:p>
    <w:p>
      <w:r>
        <w:rPr>
          <w:b/>
        </w:rPr>
        <w:t>E. 6.2</w:t>
      </w:r>
    </w:p>
    <w:p>
      <w:r>
        <w:t>Dans un arrêt de principe du 2 décembre 2019 (ATF 145 V 361), le Tribunal fédéral, à la lumière de l'ATF 141 V 281, a notamment posé une délimitation, entre l'examen (libre), par les autorités chargées de l'application du droit, de l'admission d'une incapacité de travail par l'expert psychiatre, d'une part, et une appréciation juridique parallèle inadmissible, d'autre part. Selon le Tribunal fédéral, dans tous les cas, l’administration et, en cas de recours, le juge, doivent examiner si et dans quelle mesure les experts ont suffisamment et de manière compréhensible étayé leur évaluation de l'incapacité de travail, en tenant compte des indicateurs pertinents (questions de preuve). À cette fin, les experts doivent établir un lien avec la partie précédente de l'expertise médico-psychiatrique (avec extraits du dossier, anamnèse, constatations, diagnostics, etc.), c'est-à-dire qu'ils doivent se référer en détails aux résultats médico-psychiatriques des examens et explorations cliniques menés dans les règles de l’art qui relèvent de leur compétence. Le médecin doit donc exposer de manière détaillée les raisons médico- psychiatriques pour lesquelles les éléments constatés sont susceptibles de restreindre la capacité fonctionnelle et les ressources psychiques en termes qualitatifs, quantitatifs et temporels (ATF 143 V 418 consid. 6). À titre d’exemple, dans le cadre de troubles dépressifs récurrents de degrés légers à modérés qui sont souvent au premier plan dans l’examen de l’invalidité au sens de l’AI, cela signifie qu’il ne suffit pas que l'expert psychiatre déduise directement de l'épisode dépressif diagnostiqué une incapacité de travail, quel qu'en soit le degré ; il doit bien plutôt démontrer si et dans quelle mesure les constatations qu'il a faites (tristesse, désespoir, manque de dynamisme, fatigue, troubles de la concentration et de l'attention, diminution de la capacité d'adaptation, etc.), limitent la capacité de travail, en tenant compte - à des fins de comparaison, de contrôle et de plausibilité - des autres activités personnelles, familiales et sociales de la personne requérant une rente. Si les experts s'acquittent de cette tâche de manière convaincante, en tenant compte des éléments de preuve établis par l'ATF 141 V 281, l'évaluation des répercussions de l’atteinte psychique sera également valable du point de vue des organes chargés de l’application du droit, que ce soit l’administration ou le juge. À défaut, il se justifie, juridiquement, de s'en écarter (ATF 145 V 361 consid. 4.3 et la référence).</w:t>
      </w:r>
    </w:p>
    <w:p>
      <w:r>
        <w:rPr>
          <w:b/>
        </w:rPr>
        <w:t>E. 6.3</w:t>
      </w:r>
    </w:p>
    <w:p>
      <w:r>
        <w:t>En ce qui concerne l'évaluation du caractère invalidant des affections psychosomatiques et psychiques, l'appréciation de la capacité de travail par un</w:t>
      </w:r>
    </w:p>
    <w:p>
      <w:r>
        <w:t>A/87/2023 - 21/27 - médecin psychiatre est soumise à un contrôle (libre) des organes chargés de l'application du droit à la lumière de l'ATF 141 V 281 (ATF 145 V 361 consid. 4.3 ; arrêt du Tribunal fédéral 9C_585/2019 du 3 juin 2020 consid. 2 et les références). Il peut ainsi arriver que les organes d'application du droit se distancient de l'évaluation médicale de la capacité de travail établie par l’expertise sans que celle- ci ne perde sa valeur probante (arrêt du Tribunal fédéral 9C_128/2018 du 17 juillet 2018 consid. 2.2 et les références). Du point de vue juridique, il est même nécessaire de s’écarter de l’appréciation médicale de la capacité de travail si l’évaluation n’est pas suffisamment motivée et compréhensible au vu des indicateurs pertinents, ou n’est pas convaincante du point de vue des éléments de preuve instaurés par l’ATF 141 V 281. S’écarter de l’évaluation médicale est alors admissible, du point de vue juridique, sans que d’autres investigations médicales ne soient nécessaires (arrêt du Tribunal fédéral 9C_832/2019 du 6 mai 2020 consid. 2.2). Toutefois, lorsque l’administration ou le juge, au terme de son appréciation des preuves, parvient à la conclusion que le rapport d'expertise évalue la capacité de travail en fonction des critères de médecine des assurances établis dans l'ATF 141 V 281 et qu’il satisfait en outre aux exigences générales en matière de preuves (ATF 134 V 231 consid. 5.1), il a force probante et ses conclusions sur la capacité de travail doivent être suivies par les organes d'application de la loi. Une appréciation juridique parallèle libre en fonction de la grille d'évaluation normative et structurée ne doit pas être entreprise (cf. ATF 145 V 361 consid. 4.3 ; arrêts du Tribunal fédéral 8C_213/2020 du 19 mai 2020 consid. 4.3 et les références). 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(cf. arrêt du Tribunal fédéral 8C_423/2019 du 7 février 2020 consid. 3.2.2 et les références).</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t>A/87/2023 - 22/27 -</w:t>
      </w:r>
    </w:p>
    <w:p>
      <w:r>
        <w:rPr>
          <w:b/>
        </w:rPr>
        <w:t>E. 8.1</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122 V 157 consid. 1d).</w:t>
      </w:r>
    </w:p>
    <w:p>
      <w:r>
        <w:rPr>
          <w:b/>
        </w:rPr>
        <w:t>E. 8.2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9</w:t>
      </w:r>
    </w:p>
    <w:p>
      <w:r>
        <w:t>En l’espèce, la recourante considère que sa capacité de travail est nulle dans toute activité et se fonde sur l’appréciation de son psychiatre traitant ainsi que sur celle de l’expert judiciaire, le Prof. H______. L’OAI, de son côté, se fonde sur l’expertise administrative du Dr G______ et sur l’appréciation de son SMR pour considérer que l’état de santé de la recourante s’est amélioré et qu’elle dispose d’une capacité de travail de 50% dans une activité adaptée, depuis mai 2019, ce qui justifie qu’elle n’a plus droit qu’à une demi-rente, à partir du mois d’août 2019.</w:t>
      </w:r>
    </w:p>
    <w:p>
      <w:r>
        <w:t>A/87/2023 - 23/27 - La chambre de céans a exposé dans son ordonnance d’expertise du 1er février 2024 que les appréciations du psychiatre traitant de l’assurée et celles de l’expert psychiatre G______, mandaté par l’OAI, étaient en opposition, raison pour laquelle une expertise psychiatrique judiciaire était nécessaire. Il convient d’examiner la valeur probante du rapport d’expertise du Prof. H______ du 15 juillet 2024.</w:t>
      </w:r>
    </w:p>
    <w:p>
      <w:r>
        <w:rPr>
          <w:b/>
        </w:rPr>
        <w:t>E. 9.1</w:t>
      </w:r>
    </w:p>
    <w:p>
      <w:r>
        <w:t>Le rapport de ce psychiatre correspond en tous points aux exigences en la matière. Il a été établi en parfaite connaissance du dossier médical, dont la lecture a été complétée par un échange d’emails avec le psychiatre traitant de la recourante. Il contient, en outre, une anamnèse personnelle, familiale et professionnelle très fouillée, et l’expert a rapporté ses observations cliniques de manière détaillée à la suite de trois entretiens, totalisant 310 minutes, complétés par une évaluation neuropsychologique d’une durée de 300 minutes. Les diagnostics retenus sont soigneusement motivés et le Prof. H______ a précisé sur quels critères il se fondait en évoquant les diagnostics différentiels. Il a, en outre, exposé de manière convaincante pour quelles raisons il se ralliait aux avis des autres intervenants ou au contraire s’en écartait. Ses conclusions sont, elles aussi, claires et motivées. L’expert a renoncé à décrire une journée-type pour les raisons qu’il a exposées lors de son audition en date du 3 octobre 2024, expliquant que le trouble borderline dont souffre l’assurée pouvait avoir peu d’influence sur sa vie quotidienne dont la journée-type ressemblerait à celle d’une personne lambda, et que ce n’était qu’une fois l’assurée confrontée au monde du travail que les limitations fonctionnelles intervenaient. En p. 10 de son rapport d’expertise, il expose que l’assurée déclare avoir une vie sociale active et un cercle d’amis qu’elle voit régulièrement, mais elle décrit une grande sensibilité au regard des autres et une hypervigilance pour éviter de nouvelles blessures. Dans son quotidien, elle gère l’ensemble des activités de la vie quotidienne en se fixant à faire « une chose par jour ». Cette insécurité dans les relations interpersonnelles entraîne une anxiété débordante et des changements d’humeur qui sont décrits, sous ch. 3.2 en p.11. En p. 13, l’expert décrit en détail les troubles de la personnalité, notamment une intolérance marquée aux contraintes, une humeur fluctuante, des relations interpersonnelles instables avec des pulsions agressives mal maîtrisées. Lors de son échange avec son confrère, le Dr E______, psychiatre traitant de l’assurée, l’expert a noté que, suite à l’échec dans le programme de réinsertion de l’OAI en 2019, l’assurée avait été envahie par l’anxiété par rapport à son avenir et ne sortait plus de chez elle, ce qui augmentait progressivement son anxiété et la décompensait encore plus sur le plan dépressif. Tout stress du quotidien envahissait l’expertisée sur le plan anxieux et émotionnel, ce qui l’exposait au risque de décompenser, tant du point de vue des symptômes en lien avec son trouble mixte de la personnalité, que de son TDAH et de sa thymie, sur un mode dépressif.</w:t>
      </w:r>
    </w:p>
    <w:p>
      <w:r>
        <w:t>A/87/2023 - 24/27 - L’expert a retenu les diagnostics ayant une répercussion sur la capacité de travail de trouble de la personnalité émotionnellement labile, type borderline, dès 18 ans, et de trouble dépressif récurrent, épisode actuel léger, dès 18 ans également. Il a exposé en détail les limitations fonctionnelles, tout en précisant qu’au niveau de la gestion de la vie quotidienne, l’impact de ces dernières restait modeste car l’expertisée était apte à assumer les activités usuelles et administratives. Les atteintes fonctionnelles n’étaient pas homogènes, mais étaient hétérogènes et concernaient l’endurance et la résistance, l’adaptation aux règles, l’intégration dans un groupe et l’affirmation de soi. Lorsqu’elle était exposée au stress ou en lien avec les attentes d’autrui, notamment dans un milieu compétitif, sa vulnérabilité se manifestait. L’expert a considéré que le traitement prodigué par le Dr E______ était de très bonne qualité et la perception du cas approprié avec des diagnostics qui, dans les grandes lignes, étaient similaires à ceux qu’il retenait dans son rapport d’expertise. Comparant ses appréciations avec celles du Dr G______ mandaté par l’OAI, l’expert a noté que le trouble borderline, qui selon lui représente la source majeure d’invalidité, était décrit comme non invalidant par le Dr G______, ce qui était à l’opposé de ses propres conclusions. L’expert H______ a notamment été étonné que le Dr G______ puisse considérer un trouble de la personnalité comme non décompensé, en ce sens qu’il s’agissait d’une pathologie franche, selon les classifications internationales et non pas de traits de la personnalité. Les échecs répétés de l’expertisée dans ses activités de formation et d’intégration professionnelle étaient prioritairement en lien avec les éléments de ce trouble de la personnalité et on ne pouvait que s’étonner que le Dr G______ n’ait pas reconnu le trouble de la personnalité borderline comme étant invalidant. En conclusion, l’expert H______ a estimé que le pronostic était mauvais en termes de reprise d’une activité lucrative en économie libre, que des mesures de réadaptation professionnelle n’étaient pas envisageables et que la capacité de travail de l’assurée était nulle depuis le mois de juillet 2017 en raison de la gravité du trouble borderline et de la récurrence des épisodes dépressifs, qui ne permettaient pas d’envisager une intégration en économie libre. Cela avait d’ailleurs été démontré lors de l’entraînement à l’endurance aux EPI, pourtant peu exigeant, qui avait échoué en mars 2020. Lors de son audition, l’expert a pu répondre aux critiques de l’OAI concernant les limitations fonctionnelles non homogènes et s’en est expliqué en détail.</w:t>
      </w:r>
    </w:p>
    <w:p>
      <w:r>
        <w:rPr>
          <w:b/>
        </w:rPr>
        <w:t>E. 9.2</w:t>
      </w:r>
    </w:p>
    <w:p>
      <w:r>
        <w:t>En dépit de ce qui précède, le SMR considère que ce sont les appréciations du Dr G______ qui doivent être suivies, notamment en ce qu’il considère comme une discordance significative entre une capacité de travail nulle, alléguée par l’assurée, et la journée-type décrite par cette dernière. Le SMR rejette ainsi les conclusions de l’expert judiciaire quand bien même ce dernier a expliqué en</w:t>
      </w:r>
    </w:p>
    <w:p>
      <w:r>
        <w:t>A/87/2023 - 25/27 - audience les raisons pour lesquelles les limitations fonctionnelles étaient hétérogènes et n’avaient un impact que sur la sphère professionnelle de l’assurée. Compte tenu du fait que le juge ne s'écarte pas, sans motifs impératifs, des conclusions d'une expertise médicale judiciaire, et qu’il n’existe pas de motifs de s'écarter du rapport d’expertise, dès lors qu’il ne contient pas de contradictions, la chambre de céans considère que le rapport d’expertise du Prof. H______ présente une pleine valeur probante. Ses appréciations rejoignent celles du médecin traitant E______ et sont en partie confirmées dans l’évaluation psychologique du département de psychiatrie du 23 août 2021 (p. 3, sous « Interactions sociales ») ainsi que par l’échec de l’essai réalisé aux EPI par l’assurée. Les conclusions du Prof. H______, notamment en ce qui concerne l’existence de limitations fonctionnelles hétérogènes ne touchant que la sphère professionnelle de l’assurée et dont il s’est expliqué en audience, sont convaincantes et la chambre de céans estime établi, au degré de la vraisemblance prépondérante, que la capacité de travail de l’assurée est demeurée nulle au-delà du 31 juillet 2019. Le recours sera donc admis et la décision querellée sera réformée en ce sens que l’assurée a droit à une rente entière d’invalidité au-delà du 31 juillet 2019.</w:t>
      </w:r>
    </w:p>
    <w:p>
      <w:r>
        <w:rPr>
          <w:b/>
        </w:rPr>
        <w:t>E. 9.3</w:t>
      </w:r>
    </w:p>
    <w:p>
      <w:r>
        <w:t>La recourante conclut au paiement d’intérêts moratoires de 5%, dès le 1er septembre 2018, sur les arriérés de rente. Selon l'art. 26 al. 2 LPGA, des intérêts moratoires sont dus pour toute créance de prestations d'assurances sociales à l'échéance d'un délai de 24 mois à compter de la naissance du droit, mais au plus tôt 12 mois à partir du moment où l'assuré fait valoir ce droit, pour autant qu'il se soit entièrement conformé à l'obligation de collaborer qui lui incombe. De par la loi, le versement d'intérêts moratoires pour les créances de prestations d'assurances sociales est subordonné au respect des trois conditions cumulatives suivantes : le délai de 24 mois à compter de la naissance du droit, le délai de</w:t>
      </w:r>
    </w:p>
    <w:p>
      <w:r>
        <w:rPr>
          <w:b/>
        </w:rPr>
        <w:t>E. 9.4</w:t>
      </w:r>
    </w:p>
    <w:p>
      <w:r>
        <w:t>En ce qui concerne les frais de l’expertise judiciaire, selon la jurisprudence constante du Tribunal fédéral, l’art. 45 al. 1 LPGA constitue une base légale suffisante pour mettre les coûts d’une expertise judiciaire à la charge de l’assureur (ATF 143 V 269 consid. 6.2.1 et les références),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(ATF 139 V 225 consid. 4.3).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n’est pas le cas en l’espèce, l’OAI ayant mandaté un expert en matière psychiatrique, quand bien même ses appréciations divergent de celles de l’expert judiciaire désigné par la chambre de céans. 10. 10.1 Les frais d’expertise sont laissés à la charge de l’État. 10.2 La recourante, assistée par un mandataire professionnellement qualifié et obtenant gain de cause, a ainsi droit à une indemnité à titre de participation à ses frais et dépens, que la chambre de céans fixera à CHF 4'000.- (art. 61 let. g LPGA ; art. 89H al. 3 LPA ; art. 6 du règlement sur les frais, émoluments et indemnités en procédure administrative du 30 juillet 1986 [RFPA - RS E 5 10.03]). 10.3 Étant donné que, depuis le 1er juillet 2006, la procédure n'est plus gratuite (art. 69 al. 1bis LAI), au vu du sort du recours, il y a lieu de condamner l'intimé au paiement d'un émolument de CHF 200.-.</w:t>
      </w:r>
    </w:p>
    <w:p>
      <w:r>
        <w:t>A/87/2023 - 27/27 - PAR CES MOTIFS, LA CHAMBRE DES ASSURANCES SOCIALES : Statuant À la forme :</w:t>
      </w:r>
    </w:p>
    <w:p>
      <w:r>
        <w:rPr>
          <w:b/>
        </w:rPr>
        <w:t>E. 12</w:t>
      </w:r>
    </w:p>
    <w:p>
      <w:r>
        <w:t>mois à partir du moment où l'assuré fait valoir son droit, le devoir incombant à l'assuré de collaborer (Sylvie PÉTREMAND, Commentaire romand, Loi sur la partie générale des assurance sociales, 2018, n. 31 ad art. 26 LPGA). L'obligation de payer des intérêts moratoires commence 24 mois après la naissance du droit en tant que tel pour l'ensemble des prestations courues jusque-là, et non pas seulement deux ans après l'exigibilité de chaque prestation (ATF 133 V 9 consid. 3.6 ; ATAS/559/2019 du 24 juin 2019 consid. 11a). Selon l'art. 7 de de l'ordonnance sur la partie générale du droit des assurances sociales du 11 septembre 2002 [OPGA - RS 830.11]), le taux de l’intérêt moratoire est de 5% par an (al. 1). L’intérêt moratoire est calculé par mois sur les prestations dont le droit est échu jusqu’à la fin du mois précédent. Il est dû dès le premier jour du mois durant lequel le droit à l’intérêt moratoire a pris naissance et jusqu’à la fin du mois durant lequel l’ordre de paiement est donné (al. 2).</w:t>
      </w:r>
    </w:p>
    <w:p>
      <w:r>
        <w:t>A/87/2023 - 26/27 - En l'occurrence, le droit à la rente entière d’invalidité a pris naissance le 1er septembre 2018, soit à l’issue du délai de six mois, prévu par l’art. 29 al. 1 LAI, après le dépôt de la demande de prestations invalidité intervenu en mars 2018. Par ailleurs, aucun défaut de collaboration ne peut être imputé à la recourante. La recourante peut donc prétendre à un intérêt moratoire de 5% l'an, dès le 1er septembre 2020, soit dès le premier jour du mois durant lequel le délai de 24 mois, à compter de la naissance du droit, a expiré et ceci sous déduction des éventuels intérêts moratoires qui lui auraient déjà été versés par l’OAI.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