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ATAS/995/2022 vom 15. November 2022</w:t>
      </w:r>
    </w:p>
    <w:p>
      <w:r>
        <w:t>GE Cour de justice, 2022-11-15, FR</w:t>
      </w:r>
    </w:p>
    <w:p>
      <w:r>
        <w:rPr>
          <w:b/>
        </w:rPr>
        <w:t xml:space="preserve">Quelle: </w:t>
      </w:r>
      <w:r>
        <w:t>https://mcp.opencaselaw.ch/entscheid/ge_gerichte_ATAS_995_2022</w:t>
      </w:r>
    </w:p>
    <w:p>
      <w:r>
        <w:t>FR: GE_GERICHTE ATAS/995/2022 du 15 novembre 2022</w:t>
      </w:r>
    </w:p>
    <w:p>
      <w:r>
        <w:t>IT: GE_GERICHTE ATAS/995/2022 del 15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Le 1er janvier 2021 est entrée en vigueur la modification du 21 juin 2019 de la LPGA. Dans la mesure où le recours a été interjeté postérieurement au 1er janvier 2021, il est soumis au nouveau droit (cf. art. 82a a contrario LPGA).</w:t>
      </w:r>
    </w:p>
    <w:p>
      <w:r>
        <w:rPr>
          <w:b/>
        </w:rPr>
        <w:t>E. 2.3</w:t>
      </w:r>
    </w:p>
    <w:p>
      <w:r>
        <w:t>Le 1er janvier 2022, sont entrées en vigueur les modifications de la LAI du 19 juin 2020 (développement continu de l’AI ; RO 2021 705).</w:t>
      </w:r>
    </w:p>
    <w:p>
      <w:r>
        <w:t>A/486/2022 - 8/27 -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Selon l’art. 38 al. 4 let. c LPGA, les délais en jours ou en mois fixés par la loi ou l’autorité ne courent pas du 18 décembre au 2 janvier inclusivement. Aux termes de l’art. 39 al. 2 LPGA, applicable par analogie en vertu de l’art. 60 al. 2 LPGA, lorsqu’une partie s’adresse en temps utile à un assureur incompétent, le délai est réputé observé. Le respect du délai de recours, qui doit être examiné d’office, constitue une condition dont la non réalisation est sanctionnée de plein droit par l’irrecevabilité du recours (cf. Suzanne BOLLINGER, in Frésard-Fellay, Klett, Leuzinger [éd.], Basler Kommentar, Allgemeiner Teil des Sozialversicherungsrechts, 2020, n. 3 ad art. 60 LPGA).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et les références). Selon la jurisprudence, le fardeau de la preuve de la notification d’un acte et de la date à laquelle celui-ci a été notifié incombe en principe à l’autorité qui entend en tirer une conséquence juridique (ATF 129 I 8 consid. 2.2, 124 V 400 consid. 2a, 122 I 97 consid. 3b, 114 III 51 consid. 3c et 4, 103 V 63 consid. 2a), laquelle supporte donc les conséquences de l’absence de preuve, en ce sens que, si la notification ou sa date sont contestées et s’il existe un doute à ce sujet, il y a lieu de se fonder sur les déclarations du</w:t>
      </w:r>
    </w:p>
    <w:p>
      <w:r>
        <w:t>A/486/2022 - 9/27 - destinataire de l’envoi (arrêt du Tribunal fédéral 9C_413/2011 du 15 mai 2012 consid. 4.3). Datée du jeudi 18 novembre 2021 et postée en courrier A, la décision litigieuse n’a pas été envoyée en poste restante au recourant (contrairement à plusieurs communications antérieures de l’intimé), mais à l’adresse d’un tiers, soit « c/o Madame G______, avenue H______, 1219 Le Lignon », où elle a été reçue au plus tôt le vendredi 19 novembre 2021. Dans cette hypothèse, et pour autant que la boîte aux lettres associée à la personne et à l’adresse citées puisse être considérée comme étant dans la sphère de puissance du destinataire de la décision, le délai de recours aurait commencé à courir le 20 novembre 2021 avant d’être suspendu du 18 décembre 2021 au 2 janvier 2022 et d’arriver à échéance le 4 janvier 2022. Interjeté le 3 février 2022, le recours serait ainsi tardif, étant toutefois précisé que le recourant, qui n’a pas demandé de restitution de délai, ne mentionne pas non plus dans ses divers courriers à quelle date il a reçu la décision attaquée. Cela étant, la question de la recevabilité de l’acte du 3 février 2022 peut souffrir dans ce cas de rester ouverte, dès lors que le recours doit être de toute manière rejeté pour les motifs exposés ci-après.</w:t>
      </w:r>
    </w:p>
    <w:p>
      <w:r>
        <w:rPr>
          <w:b/>
        </w:rPr>
        <w:t>E. 4</w:t>
      </w:r>
    </w:p>
    <w:p>
      <w:r>
        <w:t>Le litige porte sur le droit du recourant à une rente supérieure au quart de rente octroyé.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6.1</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w:t>
      </w:r>
    </w:p>
    <w:p>
      <w:r>
        <w:t>A/486/2022 - 10/27 - l’assuré car cela revient à déduire de manière abstraite le degré d’invalidité de l’incapacité de travail, sans tenir compte de l’incidence économique de l’atteinte à la santé (ATF 114 V 281 consid. 1c et 310 consid. 3c ;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6.2.1</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ATF 141 V 281 consid. 2.1 et 2.1.1; ATF 130 V 396 consid. 5.3 et 6).</w:t>
      </w:r>
    </w:p>
    <w:p>
      <w:r>
        <w:rPr>
          <w:b/>
        </w:rPr>
        <w:t>E. 6.2.2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w:t>
      </w:r>
    </w:p>
    <w:p>
      <w:r>
        <w:t>A/486/2022 - 11/27 -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6.2.3</w:t>
      </w:r>
    </w:p>
    <w:p>
      <w:r>
        <w:t>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t>A/486/2022 - 12/27 -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w:t>
      </w:r>
    </w:p>
    <w:p>
      <w:r>
        <w:t>A/486/2022 - 13/27 -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A/486/2022 - 14/27 -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A/486/2022 - 15/27 -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A/486/2022 - 16/27 -</w:t>
      </w:r>
    </w:p>
    <w:p>
      <w:r>
        <w:rPr>
          <w:b/>
        </w:rPr>
        <w:t>E. 7.3.4</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9.1</w:t>
      </w:r>
    </w:p>
    <w:p>
      <w:r>
        <w:t>Faisant sien l’avis du SMR du 3 février 2021, lui-même fondé sur le rapport d’expertise psychiatrique du 25 janvier 2021, l’intimé considère que le recourant présente une capacité de travail de 50% dans toute activité entrant en ligne de compte (y compris l’activité habituelle) depuis août 2019, et une incapacité de</w:t>
      </w:r>
    </w:p>
    <w:p>
      <w:r>
        <w:t>A/486/2022 - 17/27 - gain de 50% à l’issue du délai d’attente d’un an, soit au 1er août 2020. La décision litigieuse retient également que compte tenu d’une perte de gain de 50%, le degré d’invalidité pour la part active (85%) s’élève à 42.5% (soit 50 x 85/100), alors que dans la part consacrée aux travaux habituels (15%), il se monte à 2.4%, compte tenu d’un empêchement de 16% (soit 16 x 15/100), ce qui conduit à une invalidité totale de 45% (soit 42.5 + 2.4, arrondi à 45%). Pour sa part, le recourant conteste la capacité de travail exigible de 50% retenue par le rapport d’expertise dans toute activité adaptée (dont l’activité habituelle), motif pris que selon son psychiatre, le Dr C______, cette capacité serait en réalité inférieure en raison d’une fatigabilité entrecoupant les moments de disponibilité psychique au travail. Dans ces conditions, il convient d’examiner tout d’abord la valeur probante du rapport d’expertise psychiatrique du 25 janvier 2021. Dans ce rapport, la Dresse D______ retient en synthèse que le trouble de la personnalité anankastique, évitante, émotionellement labile de type impulsif et paranoïaque (actuellement non décompensé) est sans effet sur la capacité de travail. En revanche, les troubles dépressifs récurrents moyens avec syndrome somatique (F33.11), présents depuis 2019 et au moment de l’expertise, ainsi que le trouble obsessionnel compulsif avec des idées ou ruminations obsédantes au premier plan (F42.0) entrainent des limitations fonctionnelles modérées, mais significatives dans le sens d’un ralentissement psychomoteur modéré verbal, moteur et idéique, des troubles de la concentration surtout subjectifs, une fatigue objectivable, une tristesse modérée présente la plupart de la journée, une faible estime de soi, avec isolement social partiel, mais pas total, avec anhédonie partielle, avec des idées obsédantes et des obsessions qui font que depuis août 2019, la capacité de travail du recourant est réduite à 100% avec une diminution de rendement de 50% ou, exprimé en d’autres termes, à 50%, sans diminution de rendement, dans toute activité n’impliquant pas la conduite d’une automobile. Pour parvenir à cette conclusion, la Dresse D______ a effectué une analyse des indicateurs jurisprudentiels pertinents. En particulier, s’agissant du traitement, elle a objectivé une évolution stationnaire des troubles avec un traitement partiellement adéquat des troubles correspondant aux diagnostics précités ; un changement du traitement antidépresseur s’imposait et la psychothérapie, suivie au rythme d’une fois tous les deux mois, n’était pas assez fréquente. Concernant l’axe « personnalité » (diagnostic de la personnalité, ressources personnelles), l’anamnèse révélait que le recourant présentait de longue date des comportements durables et stables nettement disharmonieux dans plusieurs secteurs du fonctionnement, ce qui permettait à la Dresse D______ de retenir la présence du trouble mixte de la personnalité (anankastique) précité, à l’instar du psychiatre traitant. Même s’il était présent depuis le début de l’âge adulte, ce trouble, qui était actuellement non décompensé, n’avait pas empêché le recourant</w:t>
      </w:r>
    </w:p>
    <w:p>
      <w:r>
        <w:t>A/486/2022 - 18/27 - de travailler sans limitations par le passé et ne l’empêchait actuellement pas de gérer son quotidien. Quant aux troubles dépressifs et au trouble obsessionnel compulsif, ils s’accompagnaient de limitations fonctionnelles modérées au quotidien. S’agissant du contexte social, il apparaissait, au moment de l’expertise, que le recourant avait conservé des capacités et ressources limitées, mais pas inexistantes, car il arrivait, selon l’anamnèse, à garder quelques relations sociales avec des amis et des connaissances, en plus de plusieurs membres de la famille, ce qui permettait à l’experte de retenir un isolement social non pas total, mais partiel depuis août 2019 jusqu’à la date de l’expertise. En ce qui concernait l’aspect « cohérence », l’experte a objectivé une bonne cohérence entre la plupart des plaintes subjectives et le constat objectif, le décalage existant entre la fatigue, les troubles de la concentration et le constat objectif s’inscrivant dans le contexte d’un trouble de la personnalité mixte avec des bénéfices primaires plutôt que secondaires, qui existaient également. Cela étant, au moment de l’expertise, le recourant gardait des capacités et ressources personnelles limitées, mais néanmoins présentes, car tout en étant sous l’emprise d’un ralentissement psychomoteur objectivable modéré, accompagné d’une tristesse modérée, il arrivait à gérer son quotidien, à avoir des contacts sociaux, à faire le ménage en mettant plus de temps, à regarder la télévision, à conduire la voiture, à gérer l’administratif, à faire du ski ou du jardinage, à passer de bons moments en famille ou avec des amis, etc. En conséquence, sous l’angle d’une limitation uniforme du niveau d’activité dans tous les domaines comparables de la vie, il n’y avait pas lieu de retenir de limitations fonctionnelles significatives, mais modérées d’un point de vue psychiatrique depuis août 2019 jusqu’à la date de l’expertise. Quant à la question du poids éventuel des souffrances révélées par l’anamnèse dans la perspective du traitement et de la réadaptation, l’experte était d’avis que le recourant présentait une motivation assez bonne pour une réadaptation professionnelle et bonne pour les antidépresseurs. En conclusion, la Dresse D______ a estimé que les indices jurisprudentiels de gravité pour les troubles diagnostiqués précités (F33.11 et F42.0) étaient remplis depuis août 2019 jusqu’à la date de l’expertise pour une capacité de travail de 50%. La chambre de céans constate que le rapport d’expertise de la Dresse D______ comporte une anamnèse complète et détaillée d’un point de vue médical, familial et personnel, une description du status sur la base de deux entretiens d’expertise, du dossier médical et des plaintes exprimées et, enfin, que les conclusions sont cohérentes et motivées selon les indicateurs jurisprudentiels pertinents. Il convient donc d’en reconnaître la valeur probante.</w:t>
      </w:r>
    </w:p>
    <w:p>
      <w:r>
        <w:rPr>
          <w:b/>
        </w:rPr>
        <w:t>E. 9.2</w:t>
      </w:r>
    </w:p>
    <w:p>
      <w:r>
        <w:t>D’avis contraire, le recourant soutient en substance que la capacité de travail exigible serait surévaluée par l’experte et qu’il conviendrait d’avoir à l’esprit</w:t>
      </w:r>
    </w:p>
    <w:p>
      <w:r>
        <w:t>A/486/2022 - 19/27 - que les assez bons résultats obtenus à certains tests « notamment de concentration et de discernement », effectués dans le cadre de l’expertise ne sauraient être reproduits sur une période prolongée de plusieurs heures. À cet égard, le recourant renvoie au rapport du 2 juin 2021 du Dr C______, plus particulièrement à l’affirmation selon laquelle « la performance cognitive instantanée au service de son emploi [serait] correcte voire normale [mais] pas robuste », qu’elle s’épuiserait rapidement sous la pression de pensées intrusives. La chambre de céans constate cependant qu’il serait erroné de prétendre que les conclusions de l’experte reposeraient sur une analyse incomplète de la situation. Il n’a en effet pas échappé à la Dresse D______ que malgré le score assez bon de 43/60 obtenu au test des matrices de Raven, « dans un temps de concentration maximale de 60 minutes environ » (rapport d’expertise, p. 21), « les indices de gravité des troubles psychiques […] sont remplis depuis août 2019 au présent pour une capacité de travail de 50% en lien avec des limitations fonctionnelles modérées mais significatives cliniquement dans le sens d’un ralentissement psychomoteur modéré, des troubles de la concentration subjectifs, d’une fatigue objectivable, d’une tristesse modérée présente la plupart de la journée, d’une faible estime de soi, avec isolement social partiel, mais sans anhédonie totale mais partielle et avec des idées obsédantes et des rituels compulsifs qui font que l’assuré perd quatre heures et demi par jour » (rapport d’expertise, p. 38, point 8.1). Comme on peut le constater, l’examen de la Dresse D______ relève précisément que la concentration maximale a été tenue 60 minutes environ, de sorte que l’argument tiré d’une prétendue extrapolation de cette capacité sur une durée plus longue tombe à faux. En outre, il serait erroné de réduire la portée des conclusions rendues par l’experte (en termes de capacité de travail) au seul test des matrices de Raven puisque l’analyse effectuée, loin de se limiter au test en question, a justement permis à l’experte de constater, entre autres symptômes, un ralentissement psychomoteur modéré, ainsi qu’une fatigue objectivable. Au regard de ces éléments, il apparaît qu’en concluant à une capacité de travail exigible moins étendue que celle retenue par l’experte, sans d’ailleurs la quantifier, le Dr C______ n’explique pas sa différence d’appréciation par des éléments objectivement vérifiables et suffisamment pertinents pour remettre en cause les conclusions bien motivées de l’experte, d’autant plus que ces dernières sont fondées sur une analyse approfondie effectuée au moyen de l’ensemble des indicateurs jurisprudentiels déterminants en matière de troubles psychiques, contrairement au rapport très succinct du 2 juin 2021 du Dr C______. On ajoutera que les remarques faites au sujet de ce rapport concernent mutatis mutandis le rapport du 9 mars 2020 du Dr B______, étant relevé par ailleurs que tout en mentionnant une capacité de travail nulle sans motiver cette appréciation, ce médecin ne se détermine pas sur le point 4.1 du questionnaire de l’OAI (« combien d’heures de travail par jour peut-on raisonnablement attendre de votre</w:t>
      </w:r>
    </w:p>
    <w:p>
      <w:r>
        <w:t>A/486/2022 - 20/27 - patient dans l’activité qu’il a exercée jusqu’ici ? »), mais répond de façon assez contradictoire : « voir avec psy ».</w:t>
      </w:r>
    </w:p>
    <w:p>
      <w:r>
        <w:rPr>
          <w:b/>
        </w:rPr>
        <w:t>E. 9.3</w:t>
      </w:r>
    </w:p>
    <w:p>
      <w:r>
        <w:t>Compte tenu de ces éléments, la chambre de céans considère que le SMR et, à sa suite, l’intimé, étaient fondés à reprendre à leur compte les conclusions de l’expertise psychiatrique. En conséquence, la chambre de céans constate qu’il est établi, au degré requis de la vraisemblance prépondérante, que depuis août 2019, la capacité de travail du recourant est de 50%, sans diminution de rendement, dans son activité habituelle comme dans une activité adaptée.</w:t>
      </w:r>
    </w:p>
    <w:p>
      <w:r>
        <w:rPr>
          <w:b/>
        </w:rPr>
        <w:t>E. 10.1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10.2</w:t>
      </w:r>
    </w:p>
    <w:p>
      <w:r>
        <w:t>En l’espèce, l’intimé a retenu, sur la base des déclarations du recourant, que sans son atteinte à la santé, ce dernier aurait exercé une activité lucrative au taux de 85% sans invalidité et se serait consacré à son ménage le reste du temps. Le recourant ne conteste ni ce statut mixte ni la répartition retenue, de sorte qu’il y a lieu d’établir son degré d’invalidité sur la base d’une clé de répartition de 85% pour l’activité lucrative, respectivement 15% pour les travaux habituels.</w:t>
      </w:r>
    </w:p>
    <w:p>
      <w:r>
        <w:t>A/486/2022 - 21/27 -</w:t>
      </w:r>
    </w:p>
    <w:p>
      <w:r>
        <w:rPr>
          <w:b/>
        </w:rPr>
        <w:t>E. 11.1</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 ATF 104 V 136 consid. 2a).</w:t>
      </w:r>
    </w:p>
    <w:p>
      <w:r>
        <w:rPr>
          <w:b/>
        </w:rPr>
        <w:t>E. 11.2</w:t>
      </w:r>
    </w:p>
    <w:p>
      <w:r>
        <w:t>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d’invalide).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 est comparé au gain hypothétique qu’il pourrait obtenir sur un marché équilibré du travail en mettant pleinement à profit sa capacité résiduelle dans un emploi adapté à son handicap (ATF 125 V 146 consid. 5a). Sur ce dernier point, il y a lieu, en principe, en l’absence d’un revenu effectivement réalisé, de se référer aux données salariales telles qu’elles résultent des enquêtes sur la structure des salaires publiées par l’Office fédéral de la statistique (ATF 126 V 75 consid. 3b). Toutefois, il n’est pas nécessaire de procéder par ce biais lorsque l’assuré est en mesure, malgré son handicap, d’exercer – fût-ce avec une diminution de rendement – l’activité pratiquée antérieurement (arrêt du Tribunal fédéral 9C_599/2011 du 13 janvier 2012, consid. 4.1). Selon la jurisprudence, il est en effet possible de fixer la perte de gain d’un assuré directement sur la base de son incapacité de travail en faisant</w:t>
      </w:r>
    </w:p>
    <w:p>
      <w:r>
        <w:t>A/486/2022 - 22/27 -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11.3</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w:t>
      </w:r>
    </w:p>
    <w:p>
      <w:r>
        <w:t>A/486/2022 - 23/27 -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11.4</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137 V 334 consid. 4.2 et les références). Selon ladite circulaire, il est possible de renoncer à l’enquête sur place, mais cela doit être justifié brièvement dans le dossier (ch. 3081 CIIAI). La présence d’un domicile à l’étranger peut constituer un tel motif de renonciation (cf. l’arrêt du Tribunal fédéral I 733/06 du 16 juillet 2007 consid. 4.2.2 et l’arrêt cité).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(ATF 133 V 504 consid. 4.2). La jurisprudence pose comme critère que l’aide ne saurait constituer une charge excessive du seul fait qu’elle va au-delà du soutien que l’on peut attendre de manière habituelle sans atteinte à la santé (ATF 133 V 504 consid. 4.2 précité; 130 V 97 consid. 3.3.3 et les références).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précité et les références; arrêts 8C_748/2019 du 7 janvier 2020 consid. 5.3; 9C_491/2008 du 21 avril 2009 consid. 3).</w:t>
      </w:r>
    </w:p>
    <w:p>
      <w:r>
        <w:rPr>
          <w:b/>
        </w:rPr>
        <w:t>E. 11.5</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w:t>
      </w:r>
    </w:p>
    <w:p>
      <w:r>
        <w:t>A/486/2022 - 24/27 -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w:t>
      </w:r>
    </w:p>
    <w:p>
      <w:r>
        <w:rPr>
          <w:b/>
        </w:rPr>
        <w:t>E. 11.6</w:t>
      </w:r>
    </w:p>
    <w:p>
      <w:r>
        <w:t>En l’occurrence, l’enquête ménagère du 22 mars 2021, qui a conclu à un empêchement de 16%, s’est certes déroulée sur la base d’un entretien avec le recourant dans les locaux de l’OAI et non sur place. Cependant, au regard des spécificités du cas (recourant hébergé en alternance dans la maison de sa mère en France et dans une chambre chez une amie à Genève) et de la jurisprudence en la matière (ci-dessus : consid. 11.3), cette renonciation de l’enquêtrice, non pas à l’enquête en tant que telle, mais uniquement à un transport sur place, apparaît admissible. Par ailleurs, la chambre de céans est d’avis que le rapport rendu à l’issue de cette enquête est conforme aux réquisits jurisprudentiels en la matière. Force est en effet de constater que l’enquêtrice a détaillé les empêchements rencontrés par le recourant avec précision et qu’elle a bien tenu compte des limitations fonctionnelles retenues par l’experte/le SMR. Sachant par ailleurs que l’experte psychiatre a retenu que les troubles dépressifs et le trouble obsessionnel compulsif s’accompagnaient de limitations fonctionnelles modérées au quotidien qui n’empêchaient pas l’intéressé de faire le ménage en mettant plus de temps (cf. ci-dessus : consid. 9.1), le recourant ne saurait être suivi en tant qu’il soutient que ses problèmes de santé seraient « évidemment aussi invalidants dans un cadre de travail ménager que dans un cadre d’activité professionnelle ». On ne saurait, partant, considérer que l’empêchement de 16% retenu dans les travaux habituels serait contredit par les constatations faites sur le plan médical. C’est également le lieu de rappeler que conformément à son obligation de diminuer le dommage, l’assuré est tenu d’adopter une méthode de travail adéquate et de répartir son travail en conséquence (arrêt du Tribunal 9C_19/2012 du 4 octobre 2012 consid. 5.2). Le recourant fait valoir en outre que sa situation a changé à la suite du décès de sa mère le 15 janvier 2022 et au départ de l’aide de ménage présente dans leur foyer durant de très nombreuses années. Indépendamment des répercussions</w:t>
      </w:r>
    </w:p>
    <w:p>
      <w:r>
        <w:t>A/486/2022 - 25/27 - éventuelles que ces événements entraînent pour le droit aux prestations, il n’en demeure pas moins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On précisera au surplus qu’il demeure loisible au recourant de saisir en tout temps l’intimé d’une demande de révision, accompagnée notamment de rapports médicaux récents – pas encore soumis à l’intimé au moment de la décision du 18 novembre 2021 – et établissant de façon plausible que son invalidité se serait modifiée de manière à influencer ses droits (cf. art. 87 al. 2 RAI). Il s’ensuit que les changements signalés, en tant qu’ils sont postérieurs à la date de la décision litigieuse (18 novembre 2021), ne sont pas de nature à remettre en cause les conclusions de l’enquête ménagère. En conséquence, la chambre de céans s’en tiendra à l’évaluation de l’enquêtrice, selon laquelle le degré d’invalidité dans la sphère ménagère est de 16%.</w:t>
      </w:r>
    </w:p>
    <w:p>
      <w:r>
        <w:rPr>
          <w:b/>
        </w:rPr>
        <w:t>E. 12</w:t>
      </w:r>
    </w:p>
    <w:p>
      <w:r>
        <w:t>Il reste à calculer le degré d’invalidité en fonction d’une part de 85% pour l’activité lucrative et de 15% pour les travaux habituels. Étant donné que le droit à la rente naît au plus tôt six mois après la date de son dépôt (art. 29 LAI) et que la modification de l’art. 27bis RAI est entrée en vigueur le 1er juillet 2018 (cf. ci-dessus : consid. 11.3 et la lettre circulaire AI n° 372), le nouveau mode de calcul de la méthode mixte est applicable à la demande de rente du recourant, celle-ci ayant été déposée après le 1er juillet 2017, soit le 30 janvier 2020. En ce qui concerne le degré d’invalidité dans la sphère professionnelle, la chambre de céans souligne qu’il n’est en principe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En l’espèce, l’intimé a fixé la perte de gain du recourant directement sur la base de son incapacité de travail en faisant une comparaison en pour-cent. Ce choix ne prête pas le flanc à la critique étant donné que le recourant continue à bénéficier d’une capacité résiduelle de travail dans l’activité habituelle d’auxiliaire de vie/proche-aidant, qui est adaptée (cf. ci-dessus : consid. 9.3 et 11.2), et qu’au moment déterminant pour la comparaison des revenus avec et sans invalidité (cf.</w:t>
      </w:r>
    </w:p>
    <w:p>
      <w:r>
        <w:t>A/486/2022 - 26/27 - ATF 129 V 222 consid. 4.1), soit en août 2020, il exerçait encore cette activité à 20%. Le degré d’invalidité se détermine par conséquent comme suit : dans la sphère professionnelle, compte tenu de la capacité de travail de 50%, l’incapacité de gain est de 50%, ce qui correspond à 42.5%, eu égard à la part professionnelle de 85%. Dans la sphère ménagère, l’invalidité correspond au cumul des empêchements recensés par l’enquêtrice (16%) et s’élève ainsi à 2.4%, vu la part de 15% dévolue aux travaux habituels. Comme la décision attaquée le constate, l’addition de ces taux aboutit à un degré d’invalidité de 45% (44.9% arrondi au pourcent supérieur de 45% [ATF 130 V 121]), ouvrant ainsi le droit à un quart de rente à compter du 1er août 2020 (art. 28 al. 1 let. c LAI).</w:t>
      </w:r>
    </w:p>
    <w:p>
      <w:r>
        <w:rPr>
          <w:b/>
        </w:rPr>
        <w:t>E. 13</w:t>
      </w:r>
    </w:p>
    <w:p>
      <w:r>
        <w:t>Compte tenu de ce qui précède, le recours, pour peu qu’il soit recevable, doit être rejeté.</w:t>
      </w:r>
    </w:p>
    <w:p>
      <w:r>
        <w:rPr>
          <w:b/>
        </w:rPr>
        <w:t>E. 14</w:t>
      </w:r>
    </w:p>
    <w:p>
      <w:r>
        <w:t>Un émolument de CHF 200.- sera mis à la charge du recourant, qui n’obtient pas gain de cause (art. 69 al. 1bis LAI).</w:t>
      </w:r>
    </w:p>
    <w:p>
      <w:r>
        <w:t>*****</w:t>
      </w:r>
    </w:p>
    <w:p>
      <w:r>
        <w:t>A/486/2022 - 27/27 -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