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ATAS/995/2016 vom 29. November 2016</w:t>
      </w:r>
    </w:p>
    <w:p>
      <w:r>
        <w:t>GE Cour de justice, 2016-11-29, FR</w:t>
      </w:r>
    </w:p>
    <w:p>
      <w:r>
        <w:rPr>
          <w:b/>
        </w:rPr>
        <w:t xml:space="preserve">Quelle: </w:t>
      </w:r>
      <w:r>
        <w:t>https://mcp.opencaselaw.ch/entscheid/ge_gerichte_ATAS_995_2016</w:t>
      </w:r>
    </w:p>
    <w:p>
      <w:r>
        <w:t>FR: GE_GERICHTE ATAS/995/2016 du 29 novembre 2016</w:t>
      </w:r>
    </w:p>
    <w:p>
      <w:r>
        <w:t>IT: GE_GERICHTE ATAS/995/2016 del 29 novembre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w:t>
      </w:r>
    </w:p>
    <w:p>
      <w:r>
        <w:t>A/981/2016 4/6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Des avoirs LPP ont été versés au demandeur à deux reprises, soit CHF 1'276.45 le 20 juillet 2004, et CHF 1'820.15 le 12 novembre 2004. Aux termes de l’art. 5 al. 1 LFLP en effet, « l'assuré peut exiger le paiement en espèces de la prestation de sortie : a. lorsqu'il quitte définitivement la Suisse; l'art. 25f est réservé; b. lorsqu'il s'établit à son compte et qu'il n'est plus soumis à la prévoyance professionnelle obligatoire; c. lorsque le montant de la prestation de sortie est inférieur au montant annuel des cotisations de l'assuré. (cf. également art. 22 al. 2 in fine LFLP, PICHONNAZ, in Commentaire romand, Code civil I, n. 36 ad art. 122 CC).</w:t>
      </w:r>
    </w:p>
    <w:p>
      <w:r>
        <w:t>A/981/2016 5/6 Un versement en espèces durant le mariage de la prestation de sortie à un des ex- époux n’a pas à être pris en compte dans le calcul des prestations à partager (art. 22 LFLP), si l’autre y a consenti. Le versement d’une petite somme ne nécessite en revanche pas l’accord du conjoint (art. 5 al. 1 let. c et 22 LFLP). Ainsi, selon les documents produits, la prestation acquise pendant le mariage par le demandeur est de CHF 17'916.65. Le demandeur doit donc à son ex-épouse le montant de CHF 8'958.35 (CHF 17'916.65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A/981/2016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