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ATAS/995/2010 vom 4. Oktober 2010</w:t>
      </w:r>
    </w:p>
    <w:p>
      <w:r>
        <w:t>GE Cour de justice, 2010-10-04, FR</w:t>
      </w:r>
    </w:p>
    <w:p>
      <w:r>
        <w:rPr>
          <w:b/>
        </w:rPr>
        <w:t xml:space="preserve">Quelle: </w:t>
      </w:r>
      <w:r>
        <w:t>https://mcp.opencaselaw.ch/entscheid/ge_gerichte_ATAS_995_2010</w:t>
      </w:r>
    </w:p>
    <w:p>
      <w:r>
        <w:t>FR: GE_GERICHTE ATAS/995/2010 du 4 octobre 2010</w:t>
      </w:r>
    </w:p>
    <w:p>
      <w:r>
        <w:t>IT: GE_GERICHTE ATAS/995/2010 del 4 ottobre 2010</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 recourante à une rente d'invalidité, singulièrement à l'existence d'une aggravation de son état de santé depuis le 19 septembre 2007.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Quant aux modifications de la LAI du 6 octobre 2006 (5ème révision de la LAI), entrées en vigueur le 1er janvier 2008, elle seront prises en considération dans le présent litige, pour les faits postérieurs à leur entrée en vigueur.</w:t>
      </w:r>
    </w:p>
    <w:p>
      <w:r>
        <w:rPr>
          <w:b/>
        </w:rPr>
        <w:t>E. 2</w:t>
      </w:r>
    </w:p>
    <w:p>
      <w:r>
        <w:t>a) L'art. 69 al. 1 LAI prévoit que les décisions des offices AI cantonaux peuvent faire directement l'objet d'un recours devant le tribunal des assurances du canton de l'office qui a rendu la décision.</w:t>
      </w:r>
    </w:p>
    <w:p>
      <w:r>
        <w:t>A/3841/2009 - 10/15 - b) En l'espèce, l'OCAI a communiqué à l'assuré un projet de décision en date du 6 août 2009, qui a été confirmé par la décision du 25 septembre 2009, contre laquelle l'assurée a interjeté directement recours devant le Tribunal de céans le 27 octobre 2009.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w:t>
      </w:r>
    </w:p>
    <w:p>
      <w:r>
        <w:t>A/3841/2009 - 11/15 -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w:t>
      </w:r>
    </w:p>
    <w:p>
      <w:r>
        <w:t>A/3841/2009 - 12/15 -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cantonal dispose d'une large liberté dans le choix des preuves qu'il entend administrer. Cette liberté est le corollaire de l'obligation à sa charge d'établir les faits déterminants pour l'issue du litige. S'agissant d'une expertise médicale, il a en principe la possibilité soit de commettre lui-même un expert soit de renvoyer la cause à l'administration pour qu'elle mette en œuvre l'expertise. A cet égard, le Tribunal fédéral des assurances a jugé qu'il n'intervient que si la décision de renvoi</w:t>
      </w:r>
    </w:p>
    <w:p>
      <w:r>
        <w:t>A/3841/2009 - 13/15 - se trouve en contradiction avec des pièces évidentes et concordantes du dossier ou s'il manque des preuves pertinentes et suffisantes pour trancher le litige. Un renvoi à l'administration ne saurait en effet apparaître comme le prétexte à un refus de trancher le litige au fond sur la base du dossier constitué et conduire de ce fait à un déni de justice de la part de l'autorité (cf. RAMA 1999 n° U 342 p. 410, 1993 n° U 170 p. 136; ATF du 24 janvier 2006 I 695/04).</w:t>
      </w:r>
    </w:p>
    <w:p>
      <w:r>
        <w:rPr>
          <w:b/>
        </w:rPr>
        <w:t>E. 7</w:t>
      </w:r>
    </w:p>
    <w:p>
      <w:r>
        <w:t>En l'espèce, la recourante a déposé une nouvelle demande de prestations le 5 mars 2008, à la suite de la décision du 19 septembre 2007, entrée en force, de l'intimé refusant d'entrer en matière sur sa demande de prestations précédente du 15 février 2007. Cette demande a été rejetée par décision du 25 septembre 2009. L'instruction complémentaire menée par le Tribunal de céans a permis de démontrer qu'une expertise bidisciplinaire rhumatologique et psychiatrique était nécessaire, ce que les parties admettent au demeurant. Par ailleurs, contrairement à l'avis du SMR du 23 août 2010, on ne saurait, du point de vue psychiatrique considérer, en l'état, qu'une aggravation de l'état de santé psychique de la recourante s'est produite uniquement postérieurement à l'expertise du Dr N_________ du 14 avril 2009. En effet, il ressort du dossier médical que postérieurement au 19 septembre 2007 et antérieurement à l'expertise précitée, le Dr I_________ a attesté d'une incapacité totale de travail (rapports des 6 juin 2008, 31 octobre 2008 et 19 décembre 2008), confirmée par la Dresse Q_________ (rapport du 30 juillet 2010) et le Dr M_________ d'un trouble dépressif récurrent (rapport du 5 décembre 2008). En conséquence, l'expertise psychiatrique devra porter sur l'évaluation de l'état de santé de la recourante à tout le moins depuis le 19 septembre 2007. Il en va de même de l'expertise rhumatologique, ce qui ne semble pas être contesté par l'intimé. L'instruction du dossier étant incomplète, il convient d'annuler la décision du 25 septembre 2009 de l'intimé et de lui renvoyer la cause pour mettre en œuvre l'expertise bidisciplinaire précitée. A cet égard, il sera rappelé que lorsqu'une autorité judiciaire, cantonale et fédérale, enjoint un office AI de procéder à une "expertise psychiatrique", il ne peut s'agir que d'une expertise administrative, c'est-à-dire d'une expertise ordonnée par l'administration auprès de médecins ou d'une institution indépendants des parties en présence. Des raisons évidentes d'égalité entre les parties empêchent en effet que l'administration, dont la décision a été annulée par l'autorité judiciaire et à laquelle la cause a été renvoyée pour expertise, se tourne pour ce faire vers des médecins qui lui sont liés d'un point de vue institutionnel ou par contrat de travail. Dès lors un rapport du SMR ne saurait être assimilé à une expertise administrative (ATF I 694/05 du 5 décembre 2006).</w:t>
      </w:r>
    </w:p>
    <w:p>
      <w:r>
        <w:t>A/3841/2009 - 14/15 -</w:t>
      </w:r>
    </w:p>
    <w:p>
      <w:r>
        <w:rPr>
          <w:b/>
        </w:rPr>
        <w:t>E. 8</w:t>
      </w:r>
    </w:p>
    <w:p>
      <w:r>
        <w:t>Au vu de ce qui précède, le recours sera partiellement admis, la décision litigieuse annulée et la cause renvoyée à l'intimé pour instruction complémentaire par le biais d'une expertise bidisciplinaire indépendante du SMR, au sens des considérants et nouvelle décision.</w:t>
      </w:r>
    </w:p>
    <w:p>
      <w:r>
        <w:rPr>
          <w:b/>
        </w:rPr>
        <w:t>E. 9</w:t>
      </w:r>
    </w:p>
    <w:p>
      <w:r>
        <w:t>a) La recourante qui obtient partiellement gain de cause, a droit à une indemnité, à charge de l'intimé, qui sera fixée à 2'500 fr. A cet égard, l'arrêt 9C 967/2009 invoqué par l'intimé n'est pas applicable au cas d'espèce dès lors qu'il concerne un cas d'extension de la procédure juridictionnelle alors que dans le cas d'espèce, la décision litigieuse du 25 septembre 2009 est annulée.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l'intimé.</w:t>
      </w:r>
    </w:p>
    <w:p>
      <w:r>
        <w:t>A/3841/2009 - 15/15 -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