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ATAS/994/2019 vom 29. Oktober 2019</w:t>
      </w:r>
    </w:p>
    <w:p>
      <w:r>
        <w:t>GE Cour de justice, 2019-10-29, FR</w:t>
      </w:r>
    </w:p>
    <w:p>
      <w:r>
        <w:rPr>
          <w:b/>
        </w:rPr>
        <w:t xml:space="preserve">Quelle: </w:t>
      </w:r>
      <w:r>
        <w:t>https://mcp.opencaselaw.ch/entscheid/ge_gerichte_ATAS_994_2019</w:t>
      </w:r>
    </w:p>
    <w:p>
      <w:r>
        <w:t>FR: GE_GERICHTE ATAS/994/2019 du 29 octobre 2019</w:t>
      </w:r>
    </w:p>
    <w:p>
      <w:r>
        <w:t>IT: GE_GERICHTE ATAS/994/2019 del 29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art. 89B de la loi sur la procédure administrative du 12 septembre 1985 - [LPA-GE - E 5 10]).</w:t>
      </w:r>
    </w:p>
    <w:p>
      <w:r>
        <w:rPr>
          <w:b/>
        </w:rPr>
        <w:t>E. 3</w:t>
      </w:r>
    </w:p>
    <w:p>
      <w:r>
        <w:t>a. Dans son recours, l’assuré fait essentiellement valoir sa bonne foi et sa situation financière difficile. Il entend ainsi demander la remise de l’obligation de rembourser.</w:t>
      </w:r>
    </w:p>
    <w:p>
      <w:r>
        <w:t>A/3468/2019 - 3/6 -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c. Le présent litige porte dès lors sur le droit de l’OAI de réclamer à l’intéressé le remboursement de la somme de CHF 3'887.-, représentant la rente d’invalidité et l’allocation d’impotent auxquelles avait droit son épouse, soit sur le principe de la restitution. La question de la remise sera examinée ultérieurement par l’OAI. La décision de restitution n’étant pas entrée en force, la chambre de céans ne peut en effet trancher la question de la remise de l’obligation de restituer, de sorte que la conclusion à ce sujet doit être déclarée irrecevable (arrêt du Tribunal fédéral 8C_602/2007 du 13 décembre 2007).</w:t>
      </w:r>
    </w:p>
    <w:p>
      <w:r>
        <w:rPr>
          <w:b/>
        </w:rPr>
        <w:t>E. 4</w:t>
      </w:r>
    </w:p>
    <w:p>
      <w:r>
        <w:t>a. Aux termes de l’art. 30 LAI, « l'assuré cesse d'avoir droit à la rente d'invalidité dès qu'il peut prétendre la rente de vieillesse de l'AVS ou s'il décède ». Le ch. 3119 des Directives concernant les rentes (DR) de l’assurance vieillesse, survivants et invalidité fédérale précise que le droit à une rente d’invalidité s’éteint à la fin du mois au cours duquel la personne ayant droit à la rente décède. b. Feue l’assurée étant décédée le 25 février 2019, les prestations AI versées en mars 2019 l’ont été à tort.</w:t>
      </w:r>
    </w:p>
    <w:p>
      <w:r>
        <w:rPr>
          <w:b/>
        </w:rPr>
        <w:t>E. 5</w:t>
      </w:r>
    </w:p>
    <w:p>
      <w:r>
        <w:t>a. Conformément à l’art. 25 al. 1, 1ère phrase, LPGA, les prestations indûment touchées doivent être restituées. L'obligation de restituer suppose que soient remplies les conditions d'une reconsidération ou d'une révision procédurale de la décision par laquelle les prestations en cause ont été allouées.</w:t>
      </w:r>
    </w:p>
    <w:p>
      <w:r>
        <w:t>A/3468/2019 - 4/6 -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Il convient de rappeler qu’au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OPGA; Ueli KIESER, ATSG-Kommentar, 2ème éd., 2009, ad art. 25 LPGA, n° 8 p. 354). En ce qui concerne la suppression de la rente d'invalidité en cas de manquement à l'obligation de renseigner, l'art. 88bis al. 2 let. b RAI suppose un lien de causalité entre le comportement à sanctionner (la violation de l'obligation d'annoncer) et le dommage causé (la perception de prestations indues) pour que l'autorité puisse supprimer avec effet rétroactif des prestations d'invalidité (voir ATF 119 V 431 consid. 4a p. 435; 118 V 214 consid. 3b p. 219; arrêt 9C_454/2012 du 18 mars 2013 consid. 7.3, non publié in ATF 139 V 106, mais in SVR 2013 IV n° 24 p. 66). b. Aux termes de l'art. 25 al. 2, 1ère phrase, LPGA (RS 830.1),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p. 24 et les références). Ces délais ne peuvent par conséquent être interrompus. Lorsque l'autorité a accompli l'acte conservatoire que prescrit la loi, le délai se trouve sauvegardé, cela une fois pour toutes (arrêt 8C_616/2009 du 14 décembre 2009 consid. 3.1 et les références).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w:t>
      </w:r>
    </w:p>
    <w:p>
      <w:r>
        <w:t>A/3468/2019 - 5/6 - 521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9C_454/2012 du 18 mars 2013 consid. 4, non publié à l'ATF 139 V 106 et les références). c. En l’occurrence, l’OAI, en notifiant sa décision de restitution le 15 août 2019, a agi en temps utile.</w:t>
      </w:r>
    </w:p>
    <w:p>
      <w:r>
        <w:rPr>
          <w:b/>
        </w:rPr>
        <w:t>E. 6</w:t>
      </w:r>
    </w:p>
    <w:p>
      <w:r>
        <w:t>Le montant n’est au demeurant pas contesté. Partant, c’est à bon droit que l’OAI a réclamé à l’intéressé, en sa qualité d’héritier, la restitution de la somme de CHF 3'887.-, représentant les prestations AI versées à tort pour le mois de mars 2019. En conséquence, le recours est rejeté.</w:t>
      </w:r>
    </w:p>
    <w:p>
      <w:r>
        <w:rPr>
          <w:b/>
        </w:rPr>
        <w:t>E. 7</w:t>
      </w:r>
    </w:p>
    <w:p>
      <w:r>
        <w:t>Autre est la question de savoir si les conditions permettant la remise de l’obligation de restituer sont remplies. La restitution ne peut en effet être exigée lorsque l’intéressé était de bonne foi et qu’elle le mettrait dans une situation difficile. Il appartiendra à l’OAI d’examiner cette question avant de rendre une nouvelle décision.</w:t>
      </w:r>
    </w:p>
    <w:p>
      <w:r>
        <w:t>A/3468/2019 - 6/6 -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