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ATAS/994/2018 vom 25. Oktober 2018</w:t>
      </w:r>
    </w:p>
    <w:p>
      <w:r>
        <w:t>GE Cour de justice, 2018-10-25, FR</w:t>
      </w:r>
    </w:p>
    <w:p>
      <w:r>
        <w:rPr>
          <w:b/>
        </w:rPr>
        <w:t xml:space="preserve">Quelle: </w:t>
      </w:r>
      <w:r>
        <w:t>https://mcp.opencaselaw.ch/entscheid/ge_gerichte_ATAS_994_2018</w:t>
      </w:r>
    </w:p>
    <w:p>
      <w:r>
        <w:t>FR: GE_GERICHTE ATAS/994/2018 du 25 octobre 2018</w:t>
      </w:r>
    </w:p>
    <w:p>
      <w:r>
        <w:t>IT: GE_GERICHTE ATAS/994/2018 del 25 ottobre 2018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A/2752/2018 ATAS/994/2018 COUR DE JUSTICE Chambre des assurances sociales Arrêt du 25 octobre 2018 3ème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A/2752/2018 - 2/2 -</w:t>
      </w:r>
    </w:p>
    <w:p>
      <w:r>
        <w:t>Vu la demande de soutien à une activité indépendante (SAI) déposée par Monsieur A______ auprès de l’Office régional de placement (ORP) ; Vu la décision de l’ORP du 4 mai 2018 d’accepter partiellement cette demande et d’accorder à l’intéressé 22 indemnités journalières - du 3 mai au 2 juin 2018 - pendant la phase d’élaboration de son projet d’activité indépendante ; Vu la décision du 12 juillet 2018 de l’Office cantonal de l’emploi (ci-après : OCE) confirmant la décision de l’ORP du 4 mai 2018 ; Vu le recours interjeté le 2 août 2018 par l’intéressé ; Vu la réponse du 13 septembre 2018 de l’intimé, concluant au rejet du recours ; Attendu que par courrier du 16 octobre 2018, le recourant a indiqué retirer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