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ATAS/994/2016 vom 29. November 2016</w:t>
      </w:r>
    </w:p>
    <w:p>
      <w:r>
        <w:t>GE Cour de justice, 2016-11-29, FR</w:t>
      </w:r>
    </w:p>
    <w:p>
      <w:r>
        <w:rPr>
          <w:b/>
        </w:rPr>
        <w:t xml:space="preserve">Quelle: </w:t>
      </w:r>
      <w:r>
        <w:t>https://mcp.opencaselaw.ch/entscheid/ge_gerichte_ATAS_994_2016</w:t>
      </w:r>
    </w:p>
    <w:p>
      <w:r>
        <w:t>FR: GE_GERICHTE ATAS/994/2016 du 29 novembre 2016</w:t>
      </w:r>
    </w:p>
    <w:p>
      <w:r>
        <w:t>IT: GE_GERICHTE ATAS/994/2016 del 29 novembre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les forme et délai prévus par la loi (art. 56ss LPGA), le présent recours est recevable.</w:t>
      </w:r>
    </w:p>
    <w:p>
      <w:r>
        <w:rPr>
          <w:b/>
        </w:rPr>
        <w:t>E. 4</w:t>
      </w:r>
    </w:p>
    <w:p>
      <w:r>
        <w:t>Le litige porte sur le droit de l’assuré à une rente d’invalidité.</w:t>
      </w:r>
    </w:p>
    <w:p>
      <w:r>
        <w:rPr>
          <w:b/>
        </w:rPr>
        <w:t>E. 5</w:t>
      </w:r>
    </w:p>
    <w:p>
      <w:r>
        <w:t>a) Selon l’art. 87 al. 2 du règlement sur l’assurance-invalidité du 17 janvier 1961 (RAI, RS 831.201), lorsqu’une demande de révision est déposée, celle-ci doit établir de façon plausible que l’invalidité, l’impotence ou l’étendue du besoin de soins découlant de l’invalidité de l’assuré s’est modifiée de manière à influencer ses droits. Lorsque la rente ou l’allocation pour impotent a été refusée parce que le degré d’invalidité était insuffisant ou parce qu’il n’y avait pas d’impotence, la nouvelle demande ne peut être examinée que si les conditions prévues à l’al. 3 sont remplies (al.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b) Lorsqu'elle est saisie d'une nouvelle demande, l'administration doit commencer par examiner si les allégations de l'assuré sont, d'une manière générale, plausible, Si</w:t>
      </w:r>
    </w:p>
    <w:p>
      <w:r>
        <w:t>A/177/2016 - 9/17 -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Lorsque l'administration entre en matière sur une nouvelle demande de prestations (cf. art. 87 al. 3 RAI), elle doit examiner la cause au plan matériel - soit en instruire tous les aspects médicaux et juridiques (arrêt 9C_142/2012 du 9 juillet 2012 consid. 4) - et s'assurer que la modification du degré d'invalidité rendue vraisemblable par l'assuré est effectivement survenue.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109 V 108 consid. 2 p. 114; 117; Ulrich MEYER/Marco REICHMUTH, Rechtsprechung des Bundesgerichts zum IVG, 3 e éd., n. 120, p. 456). Il sied de préciser à cet égard que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en revanche pas matière à révision lorsque les circonstances sont demeurées inchangées et que le motif de la suppression ou de la diminution de la rente réside uniquement dans une nouvelle appréciation du cas (ATF 112 V 372 consid. 2b et 390 consid. 1b). Par ailleurs, un motif de révision au sens de l’art. 17 LPGA doit</w:t>
      </w:r>
    </w:p>
    <w:p>
      <w:r>
        <w:t>A/177/2016 - 10/17 -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 d) Les normes réglementaires et les principes jurisprudentiels sur les modalités de l'examen d'une nouvelle demande après que des prestations ont été refusées par une décision entrée en force ne concernent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w:t>
      </w:r>
    </w:p>
    <w:p>
      <w:r>
        <w:rPr>
          <w:b/>
        </w:rPr>
        <w:t>E. 6</w:t>
      </w:r>
    </w:p>
    <w:p>
      <w:r>
        <w:t>Préalablement, il y a lieu de constater que la décision querellée n’est pas une décision de non-entrée en matière. En effet, l’OAI s’est en l’occurrence prononcé et a rejeté la demande. Dès lors que l’OAI est entré en matière sur la nouvelle demande de l’assuré, la chambre de céans doit examiner si c’est à bon droit qu’il l’a rejetée.</w:t>
      </w:r>
    </w:p>
    <w:p>
      <w:r>
        <w:rPr>
          <w:b/>
        </w:rPr>
        <w:t>E. 7</w:t>
      </w:r>
    </w:p>
    <w:p>
      <w:r>
        <w:t>a)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w:t>
      </w:r>
    </w:p>
    <w:p>
      <w:r>
        <w:t>A/177/2016 - 11/17 -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9</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w:t>
      </w:r>
    </w:p>
    <w:p>
      <w:r>
        <w:t>A/177/2016 - 12/17 -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11</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A/177/2016 - 13/17 -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il convient de comparer les faits tels qu’ils se présentaient lors de la décision du 18 août 2008, rejetant la demande de rente, vu le degré d’invalidité fixé alors à 7,5%, avec ceux prévalant au moment de la décision querellée. Il s’agit plus particulièrement de déterminer s’il y a eu, depuis, aggravation de l’état de santé de l’assuré.</w:t>
      </w:r>
    </w:p>
    <w:p>
      <w:r>
        <w:rPr>
          <w:b/>
        </w:rPr>
        <w:t>E. 13</w:t>
      </w:r>
    </w:p>
    <w:p>
      <w:r>
        <w:t>La demande de prestations AI avait été rejetée en 2008 sur la base d’un examen rhumatologique effectué le 27 novembre 2007 par le SMR. Un diagnostic de discrets syndromes lombaires dans le cadre d’un léger trouble statique et dégénératif avec hernie discale L5-S1 médiane non compressive et insuffisance posturale avait été retenu. La capacité de travail dans l’activité habituelle de déménageur était de 0%, susceptible toutefois d’être améliorée par un reconditionnement. Toute activité professionnelle adaptée aux limitations fonctionnelles biomécaniques (pas de position statique prolongée debout, en flexion-rotation du tronc et en porte-à-faux, port de charges limité à 15 kilos occasionnellement, pas de travail à la chaîne ni sur machine vibrante, et possibilité de changer de position) était cependant exigible à 100%, sans diminution du rendement.</w:t>
      </w:r>
    </w:p>
    <w:p>
      <w:r>
        <w:rPr>
          <w:b/>
        </w:rPr>
        <w:t>E. 14</w:t>
      </w:r>
    </w:p>
    <w:p>
      <w:r>
        <w:t>Dans le cadre de la nouvelle demande déposée le 22 mai 2013, l’OAI s’est fondé sur l’expertise psychiatrique réalisée par la Dresse G______ et le Prof. H______ le</w:t>
      </w:r>
    </w:p>
    <w:p>
      <w:r>
        <w:rPr>
          <w:b/>
        </w:rPr>
        <w:t>E. 18</w:t>
      </w:r>
    </w:p>
    <w:p>
      <w:r>
        <w:t>Le Dr F______, médecin-psychiatre traitant depuis novembre 2012, a retenu le diagnostic de troubles hypocondriaques et de personnalité narcissique. Il ne se prononce pas sur le taux d’incapacité de travail, mais précise que selon lui, « il</w:t>
      </w:r>
    </w:p>
    <w:p>
      <w:r>
        <w:t>A/177/2016 - 16/17 - s’agit d’un patient souffrant d’une psychose frustre, sans aucune capacité d’une réadaptation professionnelle. Je pense qu’il serait bon de lui permettre de suivre un atelier protégé ».</w:t>
      </w:r>
    </w:p>
    <w:p>
      <w:r>
        <w:rPr>
          <w:b/>
        </w:rPr>
        <w:t>E. 19</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rPr>
          <w:b/>
        </w:rPr>
        <w:t>E. 20</w:t>
      </w:r>
    </w:p>
    <w:p>
      <w:r>
        <w:t>En l’espèce, le SMR a lui-même constaté, à réception du rapport d’expertise du 18 juillet 2014 qu’il y avait des discordances entre les atteintes décrites comme incapacitantes et une capacité de travail évaluée comme entière, raison pour laquelle il a sollicité du Prof. H______ un complément d’expertise. Or, ce complément ne suffit de loin pas à rendre probante l’expertise. Force est ainsi de constater que la chambre de céans n’est pas en mesure de statuer en l’état actuel du dossier, dès lors qu’il ne contient pas les éléments suffisants et probants permettant une appréciation adéquate des atteintes à la santé sur le plan psychiatrique. Il se justifie en conséquence d’admettre partiellement le recours, de renvoyer la cause à l’OAI afin qu’il ordonne un complément d’expertise sous la forme d’une expertise psychiatrique. Il lui appartiendra ensuite d’évaluer le taux d’invalidité présenté par l’assuré et de rendre une nouvelle décision.</w:t>
      </w:r>
    </w:p>
    <w:p>
      <w:r>
        <w:t>A/177/2016 - 17/17 -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