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ATAS/994/2011 vom 24. Oktober 2011</w:t>
      </w:r>
    </w:p>
    <w:p>
      <w:r>
        <w:t>GE Cour de justice, 2011-10-24, FR</w:t>
      </w:r>
    </w:p>
    <w:p>
      <w:r>
        <w:rPr>
          <w:b/>
        </w:rPr>
        <w:t xml:space="preserve">Quelle: </w:t>
      </w:r>
      <w:r>
        <w:t>https://mcp.opencaselaw.ch/entscheid/ge_gerichte_ATAS_994_2011</w:t>
      </w:r>
    </w:p>
    <w:p>
      <w:r>
        <w:t>FR: GE_GERICHTE ATAS/994/2011 du 24 octobre 2011</w:t>
      </w:r>
    </w:p>
    <w:p>
      <w:r>
        <w:t>IT: GE_GERICHTE ATAS/994/2011 del 24 ottobre 2011</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w:t>
      </w:r>
    </w:p>
    <w:p>
      <w:r>
        <w:t>A/801/2011 - 6/7 - du mariage, le 27 février 1971, d’autre part le 26 novembre 2010, date à laquelle le jugement de divorce est devenu exécutoire. Selon les documents produits, la prestation acquise pendant le mariage par M. S__________ est de 39'038 fr. 04 (soit 29'762 fr. 15 auprès de la ZURICH COMPAGNIE D'ASSURANCE SUR LA VIE SA pour la FONDATION COLLECTIVE VITA, 5'634 fr. auprès de la FONDATION COLLECTIVE LPP SWISSLIFE et 3'641 fr. 89 auprès de la FONDATION INSTITUTION SUPPLETIVE LPP, étant précisé que les avoirs transférés à LA SUISSE ASSURANCES ont été versés en espèce au demandeur) tandis que celle acquise par Mme S__________ est de 5'058 fr. 44 (soit 2'469 fr. 94 auprès de la FONDATION INSTITUTION SUPPLETIVE LPP et 2'588 fr. 50 auprès de la FONDATION DE LIBRE PASSSAGE DE LA BCGE), les intérêts ayant déjà été calculés par les institutions de prévoyance défenderesses. Ainsi M. S__________ doit à son ex-épouse le montant de 19'519 fr. 02 (39'038 fr. 04 : 2) et celle-ci lui doit le montant de 2'529 fr. 22 (5'058 fr. 44 : 2), de sorte que c’est M. S__________ qui doit à Mme S__________ le montant de 16'989fr. 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A/801/2011 - 7/7 -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