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ATAS/993/2022 vom 15. November 2022</w:t>
      </w:r>
    </w:p>
    <w:p>
      <w:r>
        <w:t>GE Cour de justice, 2022-11-15, FR</w:t>
      </w:r>
    </w:p>
    <w:p>
      <w:r>
        <w:rPr>
          <w:b/>
        </w:rPr>
        <w:t xml:space="preserve">Quelle: </w:t>
      </w:r>
      <w:r>
        <w:t>https://mcp.opencaselaw.ch/entscheid/ge_gerichte_ATAS_993_2022</w:t>
      </w:r>
    </w:p>
    <w:p>
      <w:r>
        <w:t>FR: GE_GERICHTE ATAS/993/2022 du 15 novembre 2022</w:t>
      </w:r>
    </w:p>
    <w:p>
      <w:r>
        <w:t>IT: GE_GERICHTE ATAS/993/2022 del 15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novelle du 21 juin 2019 de la loi fédérale sur la partie générale du droit des assurances sociales du 6 octobre 2000 (LPGA - RS 830.1) est entrée en vigueur le 1er janvier 2021. Dans la mesure où le présent recours n’était pas pendant à cette date, il est soumis au nouveau droit (art. 82a LPGA).</w:t>
      </w:r>
    </w:p>
    <w:p>
      <w:r>
        <w:t>A/2962/2021 - 14/23 - Quant aux modifications du 19 juin 2020 de la LAI, entrées en vigueur le 1er janvier 2022, elles ne sont pas applicables. En effet, en cas de changement de règles de droit, la législation applicable est en principe celle en vigueur au moment où les faits juridiquement déterminants se sont produits (ATF 144 V 210 consid. 4.3.1). Les dispositions de la LAI seront ainsi citées dans leur teneur au 31 décembre 2021.</w:t>
      </w:r>
    </w:p>
    <w:p>
      <w:r>
        <w:rPr>
          <w:b/>
        </w:rPr>
        <w:t>E. 3</w:t>
      </w:r>
    </w:p>
    <w:p>
      <w:r>
        <w:t>Déposé dans les forme et délai prévus par la loi (art. 56ss LPGA), le recours est recevable.</w:t>
      </w:r>
    </w:p>
    <w:p>
      <w:r>
        <w:rPr>
          <w:b/>
        </w:rPr>
        <w:t>E. 4</w:t>
      </w:r>
    </w:p>
    <w:p>
      <w:r>
        <w:t>Le litige porte sur le droit de la recourante à une rente d’invalidité.</w:t>
      </w:r>
    </w:p>
    <w:p>
      <w:r>
        <w:rPr>
          <w:b/>
        </w:rPr>
        <w:t>E. 5</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w:t>
      </w:r>
    </w:p>
    <w:p>
      <w:r>
        <w:rPr>
          <w:b/>
        </w:rPr>
        <w:t>E. 6.1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6.2</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w:t>
      </w:r>
    </w:p>
    <w:p>
      <w:r>
        <w:t>A/2962/2021 - 15/23 -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6.3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Dans un arrêt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w:t>
      </w:r>
    </w:p>
    <w:p>
      <w:r>
        <w:rPr>
          <w:b/>
        </w:rPr>
        <w:t>E. 7.1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w:t>
      </w:r>
    </w:p>
    <w:p>
      <w:r>
        <w:t>A/2962/2021 - 16/23 -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w:t>
      </w:r>
    </w:p>
    <w:p>
      <w:r>
        <w:t>A/2962/2021 - 17/23 -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w:t>
      </w:r>
    </w:p>
    <w:p>
      <w:r>
        <w:t>A/2962/2021 - 18/23 -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7.2</w:t>
      </w:r>
    </w:p>
    <w:p>
      <w:r>
        <w:t>La fibromyalgie est considérée comme faisant partie des atteintes psychosomatiques soumises à la grille d'évaluation normative et structurée développée par le Tribunal fédéral (arrêt du Tribunal fédéral 9C_101/2019 du</w:t>
      </w:r>
    </w:p>
    <w:p>
      <w:r>
        <w:rPr>
          <w:b/>
        </w:rPr>
        <w:t>E. 7.3</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En l’espèce, l’intimé a fondé ses conclusions sur l’expertise des Drs H______, I______ et J______. 8.1 La recourante, dans son écriture du 10 septembre 2021, a contesté la valeur probante de cette expertise. Elle a notamment fait valoir que le diagnostic de fibromyalgie n’avait pas été posé clairement par les médecins qui l'avaient auscultée, et que l’expert l’avait retenu de manière péremptoire. Même à supposer que l'on puisse retenir ce diagnostic, l’incapacité de travail de 20% avait été retenue arbitrairement et était en parfaite contradiction avec les pièces du dossier. Les experts se devaient examiner la capacité de travail en lien avec cette maladie en application des indicateurs jurisprudentiels, et non sur la base de la seule appréciation de l'expert rhumatologue. Ils auraient dû expliquer comment ils concluaient à une capacité de travail de 70%, en contradiction flagrante avec l'appréciation de tous les autres médecins. Elle a également reproché aux experts d’avoir ignoré le diagnostic lié aux infections urinaires à répétition dont elle souffrait. Les experts ne mentionnaient pas les traitements antibiotiques qu’elle</w:t>
      </w:r>
    </w:p>
    <w:p>
      <w:r>
        <w:t>A/2962/2021 - 19/23 - prenait souvent. Les médecins lui avaient en outre expliqué que sa fatigue pouvait être expliquée par les infections à répétition. De plus, en avril 2021, on lui avait diagnostiqué des bactéries intestinales (traitées par probiotiques) qui pouvaient expliquer en partie sa fatigue. La recourante a allégué que l’expertise contiendrait un trop grand nombre d’erreurs pour se voir reconnaître de valeur probante. Dans ses observations du 14 juin 2021, elle a ainsi reproché aux experts d’avoir fixé le début de l’incapacité de travail à une date erronée, de s’être trompés sur le fait que la demande de prestations de l’assurance-invalidité avait en réalité été déposée par son employeur – elle avait simplement complété un formulaire par la suite – et sur l’atteinte motivant cette demande. Elle a en outre fait valoir que le lymphœdème primaire n'avait pas été diagnostiqué en juin 2018 mais en août 2016, et les douleurs n’étaient pas apparues à l’automne 2017, comme l’indiquaient les experts, mais en avril et mai 2018. S’agissant de la remarque des experts selon laquelle elle n’avait pas demandé à se lever durant l’entretien, elle a précisé qu’elle n’en avait pas eu besoin car les examinateurs lui avaient demandé plusieurs fois de se lever et de marcher, et qu’elle avait eu l’occasion de marcher un peu avant l’entretien avec le Dr I______. Elle a contesté le qualificatif de fortuite s’agissant de la découverte de la splénomégalie, qui avait été diagnostiquée en raison de ses douleurs en mars 2018. Enfin, elle a reproché aux experts d’avoir noté qu’elle était traitée par le professeur L______, qu’elle n’avait jamais consulté. 8.2 Ces critiques sont infondées. S’agissant des imprécisions dans la date de la survenance de l’incapacité de travail, on notera qu’elle s’explique également par le fait que le Dr B______ a lui-même mentionné un début de la maladie en mai plutôt qu’en avril 2018. Ce point n’a quoi qu’il en soit pas d’incidence dans le cas d’espèce, au vu de l’incapacité de travail admise dès avril 2018 par les experts, pas plus que le point de savoir qui a initié les démarches auprès de l’intimé. La date à laquelle les douleurs sont apparues n’est pas non plus déterminante dans ce cadre, et la mention d’un diagnostic du lymphœdème en 2018 correspond au début du suivi spécialisé pour cette atteinte. Le fait que les experts n’aient pas mentionné les antibiotiques dans la liste des médicaments pris par la recourante ne prête pas flanc à la critique, dès lors qu’il ne s’agit pas là de traitements de fond pris de manière constante, mais de médications ponctuelles en réponse à des épisodes infectieux. Au sujet des infections, la recourante ne peut pas non plus être suivie lorsqu’elle reproche aux experts d’avoir ignoré ses infections urinaires répétées. En effet, ceux-ci ont expressément mentionné ce diagnostic. Quant au fait que les médecins traitants auraient expliqué à la recourante que les infections pouvaient expliquer sa fatigue, on ne trouve pas trace au dossier d’une telle hypothèse. Le Dr C______ a, au contraire, qualifié l’asthénie d’origine indéterminée dans son rapport d’octobre 2021. De plus, aucun médecin n’a évoqué une incapacité de travail en lien avec ces infections, qui ne sont pas durables. L’hypothèse d’une origine bactérienne de la fatigue n’est pas non plus étayée par les rapports médicaux, le Dr M______ n’ayant rien évoqué de tel dans</w:t>
      </w:r>
    </w:p>
    <w:p>
      <w:r>
        <w:t>A/2962/2021 - 20/23 - son rapport du 25 mai 2021. Les explications données par la recourante sur le fait qu’elle n’ait pas demandé à se lever durant les entretiens n’enlèvent rien à l’exactitude de la remarque des experts à ce sujet. La qualification de fortuite pour la découverte de la splénomégalie n’émane pas uniquement des experts mais ressort également du rapport de la Consultation de la douleur de janvier 2019. Le lien que la recourante fait entre cette atteinte et ses douleurs n’est d’ailleurs pas non plus établi par les rapports médicaux. S’agissant du fait que le Pr L______ est cité parmi les médecins traitants par les experts, il s’agit d’une inexactitude liée au fait que celui-ci est un médecin-cadre du service de rhumatologie des HUG que la recourante consulte régulièrement. Ce point est quoi qu’il en soit sans portée dans l’appréciation de l’état de santé de la recourante. Le reconditionnement préconisé par l’expert rhumatologue a bien fait l’objet de propositions concrètes, contrairement à ce qu’allègue la recourante, puisqu’il a notamment évoqué les gestes d'épargne du rachis, les exercices de renforcement musculaire, le gainage et suggéré une perte de poids. 8.3 En ce qui concerne en particulier le diagnostic de fibromyalgie, que la recourante affirme être péremptoire, il découle des constatations cliniques de l’expert rhumatologue. Le Dr M______ a d’ailleurs lui aussi mentionné un diagnostic de ce type dans son rapport du 25 mai 2021, également évoqué à titre de diagnostic différentiel par le Dr C______ en octobre 2021. Par ailleurs, même s’il fallait retenir le diagnostic de trouble ou syndrome somatoforme douloureux plutôt que celui de fibromyalgie, cela n’aurait guère d’incidence concrète sur l’évaluation de la capacité de gain de la recourante, d’une part parce que les manifestations cliniques d’un trouble somatoforme douloureux sont pour l’essentiel identiques à celles d’une fibromyalgie (arrêt du Tribunal fédéral 9C_808/2019 du 18 août 2020 consid. 5.2), d’autre part parce que le caractère invalidant de ces atteintes s’apprécie selon les mêmes critères. 8.4 Sur le fond, l’expertise correspond aux tous points aux exigences dégagées par le Tribunal fédéral en matière de rapports médicaux, dans la mesure où elle a été établie après que les experts ont pris connaissance du dossier de la recourante, de son anamnèse et recueilli ses plaintes. Ils ont procédé à des examens détaillés avant de poser leurs diagnostics, dont ils ont discuté les fondements. S’agissant de la capacité de travail, les experts ont procédé, à l’issue de leurs examens individuels, à un consilium afin de l’établir de manière consensuelle. Ils se sont expliqués de certaines divergences avec les médecins traitants et ont motivé leurs conclusions. En ce qui concerne l’incidence des atteintes somatiques objectivées, les experts se sont ralliés aux conclusions du Dr F______ quant aux répercussions du lymphœdème. Ils ont pour le surplus expliqué pourquoi ils ne retenaient pas d’incapacité de travail en lien avec la splénomégalie, étant souligné qu’aucun médecin traitant n’a admis de restriction de la capacité de travail à ce titre. Sur le plan psychique, on notera que le Dr G______ n’a, à l’instar du Dr I______, pas non plus articulé d’incapacité de travail.</w:t>
      </w:r>
    </w:p>
    <w:p>
      <w:r>
        <w:t>A/2962/2021 - 21/23 - Contrairement à ce qu’allègue la recourante, l’expertise analyse de manière conforme à la jurisprudence les indicateurs à l’aune desquels le caractère invalidant de troubles sans étiologie claire et de troubles psychiques doit être évalué. La recourante oppose à l’appréciation de sa capacité de travail par les experts celle de ses médecins traitants. Cela étant, l’incapacité de travail que retiennent ces derniers n’est guère motivée, et se réfère essentiellement à la fatigue et aux douleurs, qui n’ont pu être objectivées par aucune atteinte organique. Dans un tel cas, seule une analyse des indicateurs pertinents permet de déterminer de manière probante la capacité de travail et de gain d’un assuré. Or, les éléments retenus par les experts dans le cadre de cette analyse ne sont en soi pas contestés par la recourante, s’agissant notamment de ses ressources, des activités auxquelles elle peut encore s’adonner avec plaisir et du soutien de son entourage. 8.5 En ce qui concerne les éléments produits dans le cadre du recours, notamment les rapports du Pr N______, ils ne révèlent pas d’atteinte nouvelle dont les experts n’auraient pas tenu compte – les médecins du service d’angiologie du CHUV l’ayant du reste confirmé dans leur rapport du 16 mars 2022. La recourante affirme également que des investigations se poursuivent afin de trouver un diagnostic expliquant ses atteintes, et que la décision de l’intimé serait prématurée. Force est cependant de constater que malgré la batterie de tests que la recourante a subis, aucun des spécialistes consultés – soit des hématologues, des infectiologues, des immunologues et des rhumatologues – n’a été en mesure de poser un diagnostic expliquant ses troubles jusqu’ici. La Dresse E______ était d’avis en juin 2021 qu’aucune investigation n’était nécessaire au plan rhumatologique. L’anomalie génétique suggérée par le Pr N______ est une piste déjà explorée par le Dr C______, le séquençage génétique n’ayant toutefois amené aucune explication aux troubles de la recourante. Aucun des éléments au dossier ne suggère que les examens qui se poursuivent seraient sur le point d’aboutir à un diagnostic probant, le bilan réalisé auprès du Dr M______ n’ayant en particulier révélé aucun élément nouveau. Dans ces circonstances, on ne saurait surseoir indéfiniment à trancher le droit aux prestations de la recourante, dont l’état paraît stable selon les indications de la Dresse E______ et semble même évoluer positivement s’agissant du lymphœdème. 8.6 Eu égard aux éléments qui précèdent, la chambre de céans n’a pas de motif de s’écarter des conclusions des experts, aux termes desquelles la recourante présente une capacité de travail de 70% dans l’activité habituelle, adaptée, depuis avril 2018. Compte tenu de la capacité de travail résiduelle de la recourante dans son ancienne activité, son degré d’invalidité se confond avec l’incapacité de travail (cf. sur ce point arrêt du Tribunal fédéral 9C_842/2018 du 7 mars 2019 consid. 5.1 et 5.2). Il s’élève ainsi à 30%, taux insuffisant pour ouvrir le droit à une rente.</w:t>
      </w:r>
    </w:p>
    <w:p>
      <w:r>
        <w:t>A/2962/2021 - 22/23 - La décision de l’intimé doit être confirmée. 9. Le recours est rejeté. La recourante, qui succombe, n’a pas droit à des dépens. La procédure en matière d’octroi de prestations de l’assurance-invalidité n’étant pas gratuite (art. 69 al. 1bis LAI), la recourante supporte l’émolument de CHF 200.-.</w:t>
      </w:r>
    </w:p>
    <w:p>
      <w:r>
        <w:t>A/2962/2021 - 23/23 - PAR CES MOTIFS, LA CHAMBRE DES ASSURANCES SOCIALES : Statuant À la forme :</w:t>
      </w:r>
    </w:p>
    <w:p>
      <w:r>
        <w:rPr>
          <w:b/>
        </w:rPr>
        <w:t>E. 12</w:t>
      </w:r>
    </w:p>
    <w:p>
      <w:r>
        <w:t>juillet 2019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