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ATAS/993/2018 vom 25. Oktober 2018</w:t>
      </w:r>
    </w:p>
    <w:p>
      <w:r>
        <w:t>GE Cour de justice, 2018-10-25, FR</w:t>
      </w:r>
    </w:p>
    <w:p>
      <w:r>
        <w:rPr>
          <w:b/>
        </w:rPr>
        <w:t xml:space="preserve">Quelle: </w:t>
      </w:r>
      <w:r>
        <w:t>https://mcp.opencaselaw.ch/entscheid/ge_gerichte_ATAS_993_2018</w:t>
      </w:r>
    </w:p>
    <w:p>
      <w:r>
        <w:t>FR: GE_GERICHTE ATAS/993/2018 du 25 octobre 2018</w:t>
      </w:r>
    </w:p>
    <w:p>
      <w:r>
        <w:t>IT: GE_GERICHTE ATAS/993/2018 del 25 ottobre 2018</w:t>
      </w:r>
    </w:p>
    <w:p>
      <w:pPr>
        <w:pStyle w:val="Heading2"/>
      </w:pPr>
      <w:r>
        <w:t>Erwägungen</w:t>
      </w:r>
    </w:p>
    <w:p>
      <w:r>
        <w:rPr>
          <w:b/>
        </w:rPr>
        <w:t>E. 1</w:t>
      </w:r>
    </w:p>
    <w:p>
      <w:r>
        <w:t>Au 1er janvier 2017 est entrée en vigueur la modification des art. 122ss du code civil suisse du 10 décembre 1907 (CC - RS 210) concernant le partage des prestations de sortie des ex-époux, ainsi que des art. 280ss du code de procédure civile du 19 décembre 2008 (CPC - RS 272) et 22ss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w:t>
      </w:r>
    </w:p>
    <w:p>
      <w:r>
        <w:rPr>
          <w:b/>
        </w:rPr>
        <w:t>E. 2</w:t>
      </w:r>
    </w:p>
    <w:p>
      <w:r>
        <w:t>L'art. 25a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t>A/2625/2018 5/7</w:t>
      </w:r>
    </w:p>
    <w:p>
      <w:r>
        <w:rPr>
          <w:b/>
        </w:rPr>
        <w:t>E. 5</w:t>
      </w:r>
    </w:p>
    <w:p>
      <w:r>
        <w:t>En l’espèce, le juge de première instance a ordonné le partage par moitié des prestations de sortie acquises durant le mariage par les demandeurs. Les dates pertinentes sont, d’une part, le 6 février 1980, date du mariage, d’autre part, le 26 novembre 2016, date à laquelle le jugement de divorce est devenu exécutoire.</w:t>
      </w:r>
    </w:p>
    <w:p>
      <w:r>
        <w:rPr>
          <w:b/>
        </w:rPr>
        <w:t>E. 6</w:t>
      </w:r>
    </w:p>
    <w:p>
      <w:r>
        <w:t>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w:t>
      </w:r>
    </w:p>
    <w:p>
      <w:r>
        <w:t>A/2625/2018 6/7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w:t>
      </w:r>
    </w:p>
    <w:p>
      <w:r>
        <w:rPr>
          <w:b/>
        </w:rPr>
        <w:t>E. 7</w:t>
      </w:r>
    </w:p>
    <w:p>
      <w:r>
        <w:t>En l’espèce, il convient de relever que si le demandeur est certes à la retraite anticipée, il ne bénéficie pas de la rente y relative, ce qui permet le partage des avoirs de prévoyance, ainsi que l’a confirmé la fondation institution supplétive.</w:t>
      </w:r>
    </w:p>
    <w:p>
      <w:r>
        <w:rPr>
          <w:b/>
        </w:rPr>
        <w:t>E. 8</w:t>
      </w:r>
    </w:p>
    <w:p>
      <w:r>
        <w:t>Selon les documents produits, la prestation acquise pendant le mariage par le demandeur s'élève à CHF 211’776.10 (214'031.50 - 2'255.40), tandis que celle acquise par la demanderesse atteint la somme de CHF 78'457.05, les intérêts ayant déjà été calculés par les institutions de prévoyance défenderesses. Ainsi le demandeur doit à son ex-épouse le montant de CHF 105'888.05 (211'776.10 : 2) alors qu'elle lui doit celui de CHF 39'228.55 (78'457.05 : 2), de sorte que c’est en définitive le demandeur qui doit à son ex-épouse le montant de CHF 66'659.50 (105'888.05 - 39'228.55).</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10</w:t>
      </w:r>
    </w:p>
    <w:p>
      <w:r>
        <w:t>Aucun émolument ne sera perçu, la procédure étant gratuite (art. 73 al. 2 LPP et 89H al. 1 de la loi sur la procédure administrative du 12 septembre 1985).</w:t>
      </w:r>
    </w:p>
    <w:p>
      <w:r>
        <w:t>A/2625/2018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