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ATAS/993/2014 vom 9. September 2014</w:t>
      </w:r>
    </w:p>
    <w:p>
      <w:r>
        <w:t>GE Cour de justice, 2014-09-09, FR</w:t>
      </w:r>
    </w:p>
    <w:p>
      <w:r>
        <w:rPr>
          <w:b/>
        </w:rPr>
        <w:t xml:space="preserve">Quelle: </w:t>
      </w:r>
      <w:r>
        <w:t>https://mcp.opencaselaw.ch/entscheid/ge_gerichte_ATAS_993_2014</w:t>
      </w:r>
    </w:p>
    <w:p>
      <w:r>
        <w:t>FR: GE_GERICHTE ATAS/993/2014 du 9 septembre 2014</w:t>
      </w:r>
    </w:p>
    <w:p>
      <w:r>
        <w:t>IT: GE_GERICHTE ATAS/993/2014 del 9 settembre 2014</w:t>
      </w:r>
    </w:p>
    <w:p>
      <w:pPr>
        <w:pStyle w:val="Heading2"/>
      </w:pPr>
      <w:r>
        <w:t>Regeste</w:t>
      </w:r>
    </w:p>
    <w:p>
      <w:r>
        <w:t>Résumé: Lorsqu'une convention de fiducie prévoit que la fiduciaire n'a aucun droit sur l'immeuble - qui lui a été cédé à titre gratuit -, et qu'à la première demande du fiduciant, elle est tenue de lui en retransmettre la propriété, par donation ou par cession, à titre gratuit, ce qui s'est du reste produit en octobre 2013, elle n'a, à aucun moment, été en mesure d'en disposer. Elle n'a pas davantage bénéficié d'un droit d'usufruit. Par conséquent, la restitution du bien immobilier au fiduciant ne peut pas être considérée comme un dessaisissement. En cas de fiducie, l'imposition des biens et des rendements se fait auprès du fiduciant, c'est-à-dire le propriétaire économique, moyennant le respect de plusieurs conditions, mentionnées notamment dans la notice de l'administration fédérale des contributions d'octobre 1967 et reprises par la jurisprudence du Tribunal administratif, devenu chambre administrative de la Cour de justice (ATA du 20 novembre 1991 en la cause S; ATA du 26 novembre 1996 en la cause A.Z ;ATA/330/2007). Partant, aucune fortune relative au bien immobilier ne peut être prise en considération dans le calcul du droit de la fiduciaire aux prestations complémentaires pendant la durée du contrat de fiducie.</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A/1384/2014 - 8/16 -</w:t>
      </w:r>
    </w:p>
    <w:p>
      <w:r>
        <w:rPr>
          <w:b/>
        </w:rPr>
        <w:t>E. 2</w:t>
      </w:r>
    </w:p>
    <w:p>
      <w:r>
        <w:t>La LPGA, en vigueur depuis le 1er janvier 2003, s’applique aux prestations complémentaires fédérales à moins que la LPC n’y déroge expressément (art. 1er 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Le litige porte sur le droit du SPC de réclamer aux époux la restitution d'un montant de CHF 87'264.20, représentant des prestations versées en trop du 1er juillet 2005 au 31 octobre 2013, ainsi que sur le montant des prestations complémentaires dues aux époux du 1er janvier au 31 octobre 2013. Il s’agit, plus particulièrement, de se déterminer sur la prise en compte, dans le revenu déterminant le droit aux prestations complémentaires, de la propriété acquise à titre fiduciaire d’un bien immobilier sis à Putignano, soit de sa valeur vénale, pour la période du 1er juillet 2005 au 31 octobre 2013, à titre de fortune. La question de la prise en compte d'un revenu immobilier hypothétique ne se pose plus, le SPC ayant admis qu'un tel revenu revenait exclusivement au fils, le fiduciant.</w:t>
      </w:r>
    </w:p>
    <w:p>
      <w:r>
        <w:rPr>
          <w:b/>
        </w:rPr>
        <w:t>E. 5</w:t>
      </w:r>
    </w:p>
    <w:p>
      <w:r>
        <w:t>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w:t>
      </w:r>
    </w:p>
    <w:p>
      <w:r>
        <w:rPr>
          <w:b/>
        </w:rPr>
        <w:t>E. 6</w:t>
      </w:r>
    </w:p>
    <w:p>
      <w:r>
        <w:t>Selon l'art. 25 al. 1 1ère phrase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A/1384/2014 - 11/16 - L'art. 3 al. 1 OPGA précise que l’étendue de l’obligation de restituer est fixée par une décision. Le droit de demander la restitution s'éteint un an après le moment où l'institution d’assurance a eu connaissance du fait, mais au plus tard cinq ans après le versement de la prestation (art. 25 al. 2 1ère phrase LPGA).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7</w:t>
      </w:r>
    </w:p>
    <w:p>
      <w:r>
        <w:t>Ont droit aux prestations complémentaires cantonales les personnes dont le revenu annuel déterminant n’atteint pas le revenu minimum cantonal d’aide sociale applicable (art. 4 LPCC). Le revenu déterminant est calculé conformément aux règles fixées dans la loi fédérale et ses dispositions d'exécution, moyennant les adaptations suivantes : a) les prestations complémentaires fédérales sont ajoutées au revenu déterminant; b) … ; c)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LPCC). Selon l’art. 7 LPCC, « 1 La fortune comprend la fortune mobilière et immobilière définie par la loi fédérale et ses dispositions d'exécution. 2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w:t>
      </w:r>
    </w:p>
    <w:p>
      <w:r>
        <w:rPr>
          <w:b/>
        </w:rPr>
        <w:t>E. 8</w:t>
      </w:r>
    </w:p>
    <w:p>
      <w:r>
        <w:t>Au niveau cantonal, l'art. 24 al. 1 1ère phrase LPCC prévoit également que les prestations indûment touchées doivent être restituées.</w:t>
      </w:r>
    </w:p>
    <w:p>
      <w:r>
        <w:t>A/1384/2014 - 12/16 -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9</w:t>
      </w:r>
    </w:p>
    <w:p>
      <w:r>
        <w:t>En l'espèce, par décisions du 16 août 2013, le SPC a, tenant compte d’un revenu immobilier hypothétique, réclamé aux époux le remboursement de la somme de CHF 59'234.20. Dans sa décision sur opposition du 31 mars 2014 toutefois, le SPC a indiqué qu’il ne comptabilisait plus aucun revenu immobilier, admettant que celui-ci revenait exclusivement au fils. Il a en revanche considéré que la valeur vénale de l'immeuble devait être retenue à titre de fortune, se fondant sur le fait qu’une acquisition à titre fiduciaire est une acquisition pleine et entière.</w:t>
      </w:r>
    </w:p>
    <w:p>
      <w:r>
        <w:rPr>
          <w:b/>
        </w:rPr>
        <w:t>E. 10</w:t>
      </w:r>
    </w:p>
    <w:p>
      <w:r>
        <w:t>Il y a préalablement lieu de rappeler que la particularité du domaine des prestations complémentaires réside en ce que c'est l'absence de revenu et de fortune qui fonde le droit aux prestations et que celles-ci sont d'autant plus élevées que le revenu et la fortune déterminants sont peu importants.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 ATF P 29/02 du 10 décembre 2002).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ATF non publié 9C_846/2010 du</w:t>
      </w:r>
    </w:p>
    <w:p>
      <w:r>
        <w:rPr>
          <w:b/>
        </w:rPr>
        <w:t>E. 12</w:t>
      </w:r>
    </w:p>
    <w:p>
      <w:r>
        <w:t>Il est vrai que le fiduciaire est considéré comme légitime et plein propriétaire du bien à lui transféré fiduciairement. Les choses et les droits qui lui appartiennent à titre fiduciaire peuvent en principe être saisis en ses mains et tombent, dans le cadre d’une exécution générale, dans sa masse en faillite ou concordataire, même s’ils appartiennent du point de vue économique à un tiers (ATF 114 II 50 ; JT 1994 II 3 ; JdT 1988 I 383; ATF 113 III 31, JdT 1989 II 84, c. 3 et les réf. ; Pierre TERCIER, La partie spéciale du Code des obligations, p. 390 note marginale 3016). Il convient toutefois de rappeler qu'en principe, les revenus déterminants selon l’art. 11 LPC comprennent les ressources et les biens dont l’ayant droit a la maîtrise. Selon la jurisprudence (cf. notamment ATF 110 V 21 consid. 3, rendu sous l’empire de l’art. 3c aLPC), on ne considère comme fortune à prendre en compte que les actifs que l’intéressé a effectivement reçus et dont il peut disposer sans restriction. La seule exception à ce principe se trouve à l'art. 11 al. 1 let. g, LPC s'agissant des ressources et parts de fortune dont un ayant droit s’est dessaisi. Par fortune au sens des art. 11 LPC et 7 LPCC,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Étant donné que l'usufruitier a seulement l'usage et la jouissance de l'objet grevé, sans pouvoir en disposer en fait ou en droit (cf. art. 745 al. 2 et 755 al. 1 CC), il n'y a ainsi pas lieu, en principe, de prendre en compte, dans le calcul des prestations complémentaires revenant à l'usufruitier, la valeur de la fortune qui est grevée d'un usufruit (ATAS/524/2013). Il n'y a pas lieu non plus de prendre en considération, à titre de revenu, la valeur capitalisée de l'usufruit dès lors qu'on se trouve en présence d'une "forme de fortune théorique". Il ne faut pas davantage tenir compte de la valeur de la fortune qui est grevée d'un usufruit dans la fortune du propriétaire, car cela reviendrait à comptabiliser, par le biais de l'imputation de la fortune (art. 11 al. 1 let. c LPC), un revenu que le propriétaire ne pourrait même pas revendiquer en raison des droits conférés à l'usufruitier (ATF 122 V 394 consid. 6 = Pratique VSI 3/1997, pp. 144-146; Directives de l'OFAS concernant les prestations complémentaires à l'AVS et à l'AI, état au 1er avril 2012 - DPC, no 3443.06). En revanche, les immeubles qui sont partiellement grevés d’un usufruit ou d’un droit</w:t>
      </w:r>
    </w:p>
    <w:p>
      <w:r>
        <w:t>A/1384/2014 - 14/16 - d’habitation interviennent au chapitre de la fortune du propriétaire, mais il est tenu compte de la diminution de valeur inhérente à la charge dont les immeubles sont grevés (DPC, no 3444.06). Cela dit, l'usufruit n'en représente pas moins, pour son titulaire, une valeur économique qu'il convient de prendre en considération au titre des revenus. En cas d'usufruit sur un immeuble, c'est la valeur locative qui doit être prise en compte (cf. infra consid. 6d).</w:t>
      </w:r>
    </w:p>
    <w:p>
      <w:r>
        <w:rPr>
          <w:b/>
        </w:rPr>
        <w:t>E. 13</w:t>
      </w:r>
    </w:p>
    <w:p>
      <w:r>
        <w:t>Il résulte de ce qui précède que ce qui importe en matière de prestations complémentaires, est de déterminer si le requérant peut disposer de ce bien pour subvenir à ses besoins, sans avoir à recourir à l'aide des prestations complémentaires, s’il peut le vendre et utiliser le bénéfice réalisé, ou le louer. Seul importe finalement l’effet économique. Or, en l’espèce, force est de constater que le transfert de propriété n'a précisément eu aucun effet sur la fortune des époux, du point de vue économique. Ils n’ont, à aucun moment, été en mesure d’en disposer. Ils n'ont pas non plus bénéficié d'un droit d'usufruit. Il résulte en effet de la convention de fiducie qu'ils n’ont aucun droit sur l’immeuble -qui leur a été cédé à titre gratuit -, et qu’à la première demande de leur fils, ils sont tenus de lui en retransmettre la propriété, par donation ou par cession, à titre gratuit, ce qui s'est du reste produit en octobre 2013. Le SPC a, dans ces conditions, admis - à juste titre - de ne pas considérer la restitution du bien immobilier au fils comme un dessaisissement. Au surplus, l'obligation de restitution du bien immobilier à leur fils, sur simple demande de celui-ci, représente pour les recourants une dette d’un montant équivalent, ce dont le SPC n'a pas tenu compte.</w:t>
      </w:r>
    </w:p>
    <w:p>
      <w:r>
        <w:rPr>
          <w:b/>
        </w:rPr>
        <w:t>E. 14</w:t>
      </w:r>
    </w:p>
    <w:p>
      <w:r>
        <w:t>Qui plus est, selon l’art. 17 OPC, la fortune des époux doit être évaluée sur la base des dispositions légales applicables en matière d’impôt cantonal et communal (ICC). Or, sur le plan fiscal, il est présumé que les opérations effectuées en nom propre sont conclues pour le compte de la personne qui agit. Les autorités fiscales sont donc autorisées à imputer une opération à la personne qui l'a effectuée. La "Notice: rapports fiduciaires" d'octobre 1967 de l'Administration fédérale des contributions (cf. www.estv.admin.ch, Impôt anticipé/Documentation: Notices/S- 02.107) précise qu'un rapport fiduciaire ne peut être admis du point de vue fiscal que lorsqu'un contrat écrit, qui décrit les biens sous mandat fiduciaire, a été conclu et qu'il prévoit que le fiduciaire n'encourt aucun risque et fixe la rémunération de celui-ci. Selon la jurisprudence, ces conditions ne doivent cependant pas impérativement être remplies, mais une preuve évidente doit en tous les cas être apportée (cf. arrêt 2A.72/2006 du 9 juin 2006 consid. 2.2 et les arrêts cités). A défaut d'une telle preuve, on peut conclure que toute somme d'argent reçue par la société en son nom propre l'a enrichie (cf. arrêt 2C_387/2007 du 4 mars 2008 consid. 4.7 ; arrêt du TF 2C_1120/2012 du 1er mai 2013). Pour constater l'existence d'un contrat de fiducie, une preuve formelle irrécusable peut être exigée du contribuable, quand bien même les parties à ce contrat sont les</w:t>
      </w:r>
    </w:p>
    <w:p>
      <w:r>
        <w:t>A/1384/2014 - 15/16 - membres d'une même famille (RDAF 1997 II p. 653 ; ATA/330/2007). Des rapports fiduciaires ne doivent pas être admis comme tels s'ils ne sont pas fondés sur des motifs économiques sérieux et si la fiduciaire intervient en même temps comme acheteur et vendeur pour le compte du fiduciant (ATA du 26 novembre 1996 en la cause R.). Selon l'ATA du 20 novembre 1991 (cause n° 90.FC.583), le contrat de fiducie est un rapport juridique reconnu par le droit fiscal. Selon la jurisprudence constante en la matière, le contribuable doit rapporter la preuve irrécusable du rapport fiduciaire et celui-ci doit reposer sur des motifs économiques. Le contribuable qui remet à l'AFC des contrats de fiducie, mais refuse de lui communiquer les informations bancaires qui permettraient de suivre le mouvement des fonds et d'établir la réalité du rapport de fiducie allégué, échoue à rapporter la preuve qui lui incombe. En cas de fiducie, l'imposition des biens et des rendements se fait auprès du fiduciant, c'est-à-dire le propriétaire économique, moyennant le respect de plusieurs conditions, mentionnées notamment dans la notice de l'administration fédérale des contributions d'octobre 1967 et reprise par la jurisprudence du Tribunal administratif, devenu chambre administrative de la Cour de justice (ATA du 20 novembre 1991 en la cause S; ATA du 26 novembre 1996 en la cause A.Z ; ATA/330/2007).</w:t>
      </w:r>
    </w:p>
    <w:p>
      <w:r>
        <w:rPr>
          <w:b/>
        </w:rPr>
        <w:t>E. 15</w:t>
      </w:r>
    </w:p>
    <w:p>
      <w:r>
        <w:t>Il y a en conséquence lieu de considérer qu’aucune fortune relative au bien immobilier de Putignano ne doit être retenue (ATAS/489/2011). Aussi le recours est-il admis et les décisions litigieuses annulées. La demande en restitution est ainsi annulée et la cause renvoyée au SPC pour nouveau calcul des prestations dues aux époux pour la période du 1er janvier au 31 octobre 2013 dans le sens des considérants et nouvelle décision.</w:t>
      </w:r>
    </w:p>
    <w:p>
      <w:r>
        <w:t>A/1384/2014 - 16/16 - PAR CES MOTIFS, LA CHAMBRE DES ASSURANCES SOCIALES : Statuant A la forme : 1. Déclare le recours recevable. Au fond : 2. L’admet. 3. Dit que la demande en restitution est annulée. 4. Renvoie la cause au SPC pour nouveau calcul des prestations dues aux époux pour la période du 1er janvier au 31 octobre 2013 dans le sens des considérants, et nouvelle décision. 5. Condamne l’intimé à verser aux recourants la somme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