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ATAS/992/2015 vom 21. Dezember 2015</w:t>
      </w:r>
    </w:p>
    <w:p>
      <w:r>
        <w:t>GE Cour de justice, 2015-12-21, FR</w:t>
      </w:r>
    </w:p>
    <w:p>
      <w:r>
        <w:rPr>
          <w:b/>
        </w:rPr>
        <w:t xml:space="preserve">Quelle: </w:t>
      </w:r>
      <w:r>
        <w:t>https://mcp.opencaselaw.ch/entscheid/ge_gerichte_ATAS_992_2015</w:t>
      </w:r>
    </w:p>
    <w:p>
      <w:r>
        <w:t>FR: GE_GERICHTE ATAS/992/2015 du 21 décembre 2015</w:t>
      </w:r>
    </w:p>
    <w:p>
      <w:r>
        <w:t>IT: GE_GERICHTE ATAS/992/2015 del 21 dicembre 2015</w:t>
      </w:r>
    </w:p>
    <w:p>
      <w:pPr>
        <w:pStyle w:val="Heading2"/>
      </w:pPr>
      <w:r>
        <w:t>Erwägungen</w:t>
      </w:r>
    </w:p>
    <w:p>
      <w:r>
        <w:rPr>
          <w:b/>
        </w:rPr>
        <w:t>E. 1</w:t>
      </w:r>
    </w:p>
    <w:p>
      <w:r>
        <w:t>Conformément à l'art. 134 al. 1 let. a ch. 3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RS/GE J 4 25) ; Sa compétence pour juger du cas d’espèce est ainsi établie.</w:t>
      </w:r>
    </w:p>
    <w:p>
      <w:r>
        <w:rPr>
          <w:b/>
        </w:rPr>
        <w:t>E. 2</w:t>
      </w:r>
    </w:p>
    <w:p>
      <w:r>
        <w:t>Selon l'art. 24 al. 1 LPCC, les prestations indûment touchées doivent être restituées. La restitution ne peut être exigée lorsque l'intéressé était de bonne foi et qu'elle le mettrait dans une situation difficile. En vertu de l'art. 15 du règlement relatif aux prestations cantonales complémentaires à l'assurance-vieillesse et survivants et à l'assurance-invalidité du 25 juin 1999 (RPCC – AVS/AI),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utiles et déposée au plus tard 30 jours à compter de l'entrée en force de la décision en restitution. La remise fait l'objet d'une décision.</w:t>
      </w:r>
    </w:p>
    <w:p>
      <w:r>
        <w:rPr>
          <w:b/>
        </w:rPr>
        <w:t>E. 3</w:t>
      </w:r>
    </w:p>
    <w:p>
      <w:r>
        <w:t>En l'espèce, l’acte de la recourante doit être qualifié de demande de remise, au vu de la motivation produite.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