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ATAS/992/2013 vom 9. Oktober 2013</w:t>
      </w:r>
    </w:p>
    <w:p>
      <w:r>
        <w:t>GE Cour de justice, 2013-10-09, FR</w:t>
      </w:r>
    </w:p>
    <w:p>
      <w:r>
        <w:rPr>
          <w:b/>
        </w:rPr>
        <w:t xml:space="preserve">Quelle: </w:t>
      </w:r>
      <w:r>
        <w:t>https://mcp.opencaselaw.ch/entscheid/ge_gerichte_ATAS_992_2013</w:t>
      </w:r>
    </w:p>
    <w:p>
      <w:r>
        <w:t>FR: GE_GERICHTE ATAS/992/2013 du 9 octobre 2013</w:t>
      </w:r>
    </w:p>
    <w:p>
      <w:r>
        <w:t>IT: GE_GERICHTE ATAS/992/2013 del 9 ottobre 2013</w:t>
      </w:r>
    </w:p>
    <w:p>
      <w:pPr>
        <w:pStyle w:val="Heading2"/>
      </w:pPr>
      <w:r>
        <w:t>Erwägungen</w:t>
      </w:r>
    </w:p>
    <w:p>
      <w:r>
        <w:rPr>
          <w:b/>
        </w:rPr>
        <w:t>E. 22</w:t>
      </w:r>
    </w:p>
    <w:p>
      <w:r>
        <w:t>Le 17 janvier 2013, le Dr N___________ a informé l'OAI que l'assuré n'était plus en mesure de travailler en tant que maçon, et l'a invité à le convoquer pour une évaluation médicale en vue de mesures de réadaptation professionnelle.</w:t>
      </w:r>
    </w:p>
    <w:p>
      <w:r>
        <w:rPr>
          <w:b/>
        </w:rPr>
        <w:t>E. 23</w:t>
      </w:r>
    </w:p>
    <w:p>
      <w:r>
        <w:t>Par décision du 18 avril 2013, l'OAI a octroyé à l'assuré une demi-rente d'invalidité de 893 fr. par mois pour la période de septembre à décembre 2011, en considérant qu'il avait une capacité de travail entière dans son activité habituelle dès le 26 avril 2012. Ne devant pas changer d'activité professionnelle, des mesures de réadaptation professionnelles n'étaient pas justifiées. L'attention du recourant était attirée sur le fait qu'un traitement adéquat était indiqué et que l'on pouvait raisonnablement exiger qu'il s'y soumette, dans la mesure où cela permettrait de préserver sa capacité de travail.</w:t>
      </w:r>
    </w:p>
    <w:p>
      <w:r>
        <w:rPr>
          <w:b/>
        </w:rPr>
        <w:t>E. 24</w:t>
      </w:r>
    </w:p>
    <w:p>
      <w:r>
        <w:t>Par acte posté le 18 mai 2013, l'assuré a recouru contre cette décision en concluant implicitement à son annulation et à l'octroi d'une rente entière. Il a fait valoir être en incapacité totale d'effectuer toute profession physique, souffrant encore énormément du dos. A l'appui de son recours, il a produit un certificat médical du 14 mai 2013 du Dr N___________, attestant que ses problèmes ostéo-articulaires</w:t>
      </w:r>
    </w:p>
    <w:p>
      <w:r>
        <w:t>A/1630/2013 - 6/16 - lui interdisent de reprendre son travail de maçon, de sorte que des mesures de réadaptation professionnelle sont souhaitables.</w:t>
      </w:r>
    </w:p>
    <w:p>
      <w:r>
        <w:rPr>
          <w:b/>
        </w:rPr>
        <w:t>E. 25</w:t>
      </w:r>
    </w:p>
    <w:p>
      <w:r>
        <w:t>Dans sa réponse au recours du 20 juin 2013, l'intimé a conclu au rejet du recours, en se référant pour la motivation à la décision litigieuse.</w:t>
      </w:r>
    </w:p>
    <w:p>
      <w:r>
        <w:rPr>
          <w:b/>
        </w:rPr>
        <w:t>E. 26</w:t>
      </w:r>
    </w:p>
    <w:p>
      <w:r>
        <w:t>Entendu le 25 septembre 2013 à la Cour, le recourant a déclaré ce qui suit: "Il y a quinze ans, je suis resté avec le dos bloqué au travail et on m’a fait deux injections. Deux jours après, je perdais les poils de mon corps. J’ai par ailleurs gardé des séquelles. Lorsque je transpire, je souffre beaucoup de démangeaisons depuis ces injections. J’ai toujours très mal au dos. La semaine passée, j’ai dû m’accrocher à un poteau dans la rue à cause de ces douleurs et consulter mon médecin. Il m’a fait une piqûre dans la fesse, qui m’a provoqué des brûlures d’estomac durant trois jours. J’ai également toujours mal à l’épaule gauche. Pourtant, je fais des exercices à la maison. Je dois faire très attention, lorsque je suis assis. Notamment, je dois éviter de croiser les jambes, sinon je perds totalement la force et je peux à peine me lever. Voilà les raisons pour lesquelles j’ai peur des infiltrations. Je ne me rappelle cependant plus le nom du médecin qui m’avait fait les injections il y a quinze ans."</w:t>
      </w:r>
    </w:p>
    <w:p>
      <w:r>
        <w:rPr>
          <w:b/>
        </w:rPr>
        <w:t>E. 27</w:t>
      </w:r>
    </w:p>
    <w:p>
      <w:r>
        <w:t>A l'issue de cette audience,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dans les délai et forme prescrits par la loi, le recours est recevable (art. 56 ss LPGA). 3. Est litigieux en l'occurrence le degré d'invalidité du recourant à compter du 1er septembre 2011. 4. 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w:t>
      </w:r>
    </w:p>
    <w:p>
      <w:r>
        <w:t>A/1630/2013 - 7/16 -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Selon l'art. 88a al. 2 RAI, en cas d'aggravation, ce changement accroit le cas échéant le droit aux prestations dès qu'il a duré trois mois sans interruption notable. L'année de référence pour le calcul de la perte gain est celle dans laquelle la rente a été supprimée (ATF 121 V 366 consid. 1b). 5. 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 modifié la notion d'incapacité de gain, mais correspond à l'inscription dans la loi de la jurisprudence dégagée jusqu'alors sur la notion d'invalidité (ATF 135 V 215 consid. 7 p. 229 ss.). Enfin, selon la jurisprudence, la notion d'invalidité, au sens du droit des assurances sociales, est une notion économique et non médicale; ce sont les conséquences économiques objectives de l'incapacité fonctionnelle qu'il importe d'évaluer (ATF 110 V 275 consid. 4a, 105 V 207 consid. 2). 6. a) Selon l'art. 28 al. 1 LAI, l'assuré a droit à une rente aux conditions suivantes: a. sa capacité de gain ou sa capacité d’accomplir ses travaux habituels ne peut pas être</w:t>
      </w:r>
    </w:p>
    <w:p>
      <w:r>
        <w:t>A/1630/2013 - 8/16 - rétablie, maintenue ou améliorée par des mesures de réadaptation raisonnablement exigibles; b. il a présenté une incapacité de travail d’au moins 40 % en moyenne durant une année sans interruption notable; c. au terme de cette année, il est invalide à 40 % au moins . b) En vertu de l’art. 28 al. 2 LAI, l’assuré a droit à une rente entière s’il est invalide à 70% au moins, à trois quarts de rente s’il est invalide à 60% au moins, à une demi-rente s’il est invalide à 50% au moins ou à un quart de rente s’il est invalide à 40% au moins. 7. Conformément à l’art. 29 al. 1 LAI, le droit à la rente prend naissance au plus tôt à l’échéance d’une période de six mois à compter de la date à laquelle l’assuré a fait valoir son droit aux prestations conformément à l’art. 29 al. 1er LPGA, mais pas avant le mois qui suit le 18ème anniversaire de l’assuré. Cette réglementation n'est toutefois pas applicable dans les cas où le délai d'attente a commencé à courir avant le 1er janvier 2011 (arrêt du Tribunal fédéral 8C_262/2010 du 12 janvier 2011, consid. 3, résumé in RSAS 2011 P. 297). Dans cette hypothèse, l'art. 29 aLAI s'applique, selon lequel le droit à la rente prend naissance au plus tôt à la date à laquelle l'assuré a présenté, en moyenne, une incapacité de travail de 40% au moins pendant une année sans interruption notable, pour autant qu'il ait déposé sa demande dans les douze mois dès la naissance du droit (art. 48 al. 2 aLAI). 8.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w:t>
      </w:r>
    </w:p>
    <w:p>
      <w:r>
        <w:t>A/1630/2013 - 9/16 - valeur probante n’est ni l’origine du moyen de preuve ni sa désignation comme rapport ou comme expertise, mais bel et bien son contenu (ATF 125 V 351 consid. 3a, 122 V 157 consid. 1c et les références ; ATF non publié du 23 juin 2008, 9C_773/2007, consid. 2.1).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w:t>
      </w:r>
    </w:p>
    <w:p>
      <w:r>
        <w:t>A/1630/2013 - 10/16 -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plublié, 129 III 18 consid. 2.6, 127 III 519 consid. 2a, 122 II 464 consid. 4a, 122 III 219 consid. 3c et les arrêts cités). Une telle manière de procéder ne viole pas le droit d’être entendu selon l’art. 29 al. 2 Cst. (SVR 2001 IV n. 10 p. 28 consid. 4b), la jurisprudence rendue sous l’empire de l’art. 4 aCst. étant toujours valable (ATF 124 V 94 consid. 4b, 122 V 162 consid. 1d). 9. En l’espèce, l’intimé s’est fondé sur le rapport du 3 mars 2011 des médecins des HUG pour admettre une amélioration de l’état de santé en mars 2011 et la récupération d’une capacité de travail à 50% dans l’ancienne profession. Ceux-ci ont constaté que le recourant se portait mieux après la discectomie de janvier 2011 et ne présentait plus de brachialgies. Toutefois, des douleurs cervicales persistaient, notamment lors des mobilisations extrêmes, ainsi qu’un manque de force du bras gauche et une minime parésie au biceps et lors de l’extension des doigts de ce membre. Le seul diagnostic était alors une hernie discale. Toutefois, le Dr P___________ a constaté, sur la base d’une échographie d’avril 2012, que le recourant souffrait également d’une tendinite sévère du sus-épineux gauche avec un syndrome de conflit sous-acromial et que cette pathologie devait être ancienne au</w:t>
      </w:r>
    </w:p>
    <w:p>
      <w:r>
        <w:t>A/1630/2013 - 11/16 - vu de la calcification sur le tendon de ce sus-épineux. Selon toute vraisemblance, il est dès lors à supposer que cette atteinte existait déjà lorsque le recourant a subi la discectomie. Le diagnostic de tendinite n’a probablement pas pu être posé auparavant, dans la mesure où ses symptômes pouvaient se confondre avec les brachialgies ressenties dans le même bras. Dès lors que la tendinite n’a pas été prise en considération par les médecins des HUG, il ne peut être conclu du rapport du 3 mars 2011 des médecins des HUG que le recourant présentait une capacité de travail à 50% dans l’ancienne activité et il y a lieu de se fonder sur l’expertise du Dr P___________. Il est à cet égard à relever que la Dresse O___________ n’a pas non plus tenu compte de la tendinite révélée par ce dernier, ce qui enlève la valeur probante à son expertise, de sorte qu’il ne sera pas tenu compte de ses constatations. Selon le Dr P___________, la capacité de travail du recourant est nulle dans son activité habituelle depuis septembre 2010. Les limitations fonctionnelles temporaires, soit au moment de l’expertise et jusqu’à la fin de traitements intensifs de trois mois, comprenant de la physiothérapie et des infiltrations, sans le port de charges de plus de 5kg, sont les mouvements répétés de la nuque et les mouvements d’élévation et d’abduction de plus de 90° avec le bras gauche. Dans la mesure où le recourant ne s’est pas soumis aux infiltrations, il est à supposer que son état est resté stationnaire et qu’il n’y a donc pas d’amélioration depuis l’expertise. Partant, au moment de la décision litigieuse, une incapacité de travail totale dans l’activité habituelle doit être admise. Se pose toutefois la question de la capacité de travail dans une activité adaptée aux limitations mentionnées par le Dr P___________. Celui-ci ne s’était pas prononcé à ce sujet, estimant que l’activité habituelle pouvait être reprise. Compte tenu de ce que les médecins des HUG avaient considéré que le recourant pouvait travailler dans son ancienne profession, il sied d’admettre qu’en mars 2011 le recourant devait également avoir récupéré une capacité de travail du même ordre dans une activité adaptée aux limitations fonctionnelles retenues par le Dr P___________. Par ailleurs, le Dr N___________ a également admis une capacité de travail de 50% dans une activité adaptée, même s’il a considéré que celle-ci n’existait que depuis janvier 2012. Cependant, on ne voit pas de raisons qui permettrait de s’écarter de l’appréciation des médecins des HUG quant à une reprise du travail à 50%, du moins dans une activité adaptée, le recourant étant handicapé du bras gauche alors qu’il est droitier. Cela étant, il y a lieu de suivre l’avis de ces derniers médecins en ce qui concerne le taux d’activité, ainsi que celui du 12 novembre 2012 du Dr Q___________, selon lequel le recourant a une capacité de travail à 50% dans une activité adaptée dès mars 2011. La Cour de céans est par ailleurs de l’avis qu’il convient également de</w:t>
      </w:r>
    </w:p>
    <w:p>
      <w:r>
        <w:t>A/1630/2013 - 12/16 - suivre ses médecins en ce qu’ils ont admis une capacité de travail de 100% dès octobre 2011, mais seulement en ce qui concerne une activité adaptée. 10.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A/1630/2013 - 13/16 -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11. En l’occurrence l’année déterminante pour la comparaison de salaire est 2011, année au cours de laquelle le recourant a présenté une incapacité de travail de 40% au moins depuis une année. Selon les indications données par le dernier employeur du recourant en mars 2011, le recourant aurait gagné, sans invalidité, en cette année 67'944 fr., montant auquel s’ajoute une gratification de 8,33%, ce qui porte le salaire total à 73'603 fr. 70.</w:t>
      </w:r>
    </w:p>
    <w:p>
      <w:r>
        <w:t>A/1630/2013 - 14/16 - Pour le revenu d'invalide, le salaire de référence est en l'espèce celui auquel peuvent prétendre les hommes effectuant des activités simples et répétitives (niveau de qualification 4) dans le secteur privé, à savoir 58’812 fr. par an en 2010 (Enquête suisse sur la structure des salaires 2010, TA1, p. 26). Au regard du large éventail d'activités simples et répétitives que recouvrent les secteurs de la production et des services, on doit en effet convenir qu'un certain nombre d'entre elles sont légères et adaptées aux handicaps du recourant. Réactualisé à l’évolution des salaires entre 2010 et 2011, le salaire statistique déterminant est de 59'386 fr. 40 (La Vie économique, 9-2013, p. 95, B10.3). Comme les salaires bruts standardisés tiennent compte d'un horaire de travail de 40 heures, soit une durée hebdomadaire inférieure à la moyenne usuelle dans les entreprises en 2011 (41,7 heures en 2011; La Vie économique, 9-2013, p. 94, B9.2), ce montant doit être porté à 61’910 fr. Vu l'âge du recourant (50 ans en 2011), ses handicaps considérables, qui empêchent notamment toute polyvalence et sa nationalité étrangère, il se justifie de procéder à un abattement de ce salaire statistique à hauteur de 15%. Il en résulte un revenu de 52’623 fr. 50. Pour un taux de capacité de travail de 50%, le salaire d'invalide s'établit ainsi à 30’955 fr. Comparé au revenu sans invalidité, la perte de gain est ainsi de 57,94%. Un tel taux ouvre le droit à une demi-rente. Dès octobre 2011, une capacité de travail de 100% dans une activité adaptée est admise, de sorte que le salaire d’invalide est de 52’623 fr. Par rapport au salaire sans invalidité, la perte de gain, de 28,5%, est inférieure à 40% et n’ouvre ainsi pas le droit à une rente. 12. Au vu de ce qui précède, le recourant peut prétendre à une demi-rente une année après le début de son incapacité de travail, soit dès septembre 2011. Son état de santé s’étant amélioré en octobre 2011, cette rente doit être supprimée à partir de janvier 2012, l’amélioration n’étant prise en considération qu’après trois mois. Il appert ainsi que la décision de l’intimé est fondée, en ce qui concerne l’octroi d’une rente d’invalidité limitée dans le temps. 13. Par la décision litigieuse, l’intimé a également refusé les mesures d’ordre professionnel, en considérant que celles-ci n’étaient pas indiquées, dès lors que le recourant ne devait pas changer de profession. Cependant, comme relevé ci-dessus, la tendinite de l’épaule s’oppose en l’état à la reprise de l’ancienne activité, au vu de l’expertise du Dr P___________ et en l’absence d’un traitement guérissant cette pathologie. Il convient par conséquent d’examiner si le recourant peut bénéficier de telles mesures, notamment d’une mesure d’orientation professionnelle. L’intimé ne s’étant pas exprimé à ce sujet, il sied de lui renvoyer la cause afin qu’il examine cette question et rende une nouvelle décision.</w:t>
      </w:r>
    </w:p>
    <w:p>
      <w:r>
        <w:t>A/1630/2013 - 15/16 - 14. Il est à cet égard à relever que l’intimé n’a pas respecté l’art. 21 al. 4 LPGA, selon lequel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à condition qu’une mise en demeure écrite l’avertissant des conséquences juridiques et lui impartissant un délai de réflexion convenable lui soit adressée. En effet, l’intimé a omis de fixer au recourant un délai convenable pour se soumettre au traitement litigieux. Les conditions légales ne sont ainsi pas réalisées pour refuser au recourant les mesures d’ordre professionnel au motif qu’il a refusé un traitement exigible. En tout état de cause, il ne paraît pas convaincant que le recourant puisse reprendre son ancienne profession d’aide-maçon, au vu de l’opération à la nuque subie et des atteintes à l’épaule, même si celles-ci peuvent s’amender. 15. Le recours sera par conséquent partiellement admis, la décision étant annulée en ce que l’intimé a refusé au recourant le droit aux mesures d’ordre professionnel. La cause sera par ailleurs renvoyée à l’intimé pour examiner si les conditions légales, sont réalisées pour l’octroi de telles mesures. 16. Au vu de ce résultat, l’émolument de justice, fixé à 200 fr., sera mis à la charge de l’intimé.</w:t>
      </w:r>
    </w:p>
    <w:p>
      <w:r>
        <w:t>A/1630/2013 - 16/16 -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