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ATAS/992/2012 vom 22. August 2012</w:t>
      </w:r>
    </w:p>
    <w:p>
      <w:r>
        <w:t>GE Cour de justice, 2012-08-22, FR</w:t>
      </w:r>
    </w:p>
    <w:p>
      <w:r>
        <w:rPr>
          <w:b/>
        </w:rPr>
        <w:t xml:space="preserve">Quelle: </w:t>
      </w:r>
      <w:r>
        <w:t>https://mcp.opencaselaw.ch/entscheid/ge_gerichte_ATAS_992_2012</w:t>
      </w:r>
    </w:p>
    <w:p>
      <w:r>
        <w:t>FR: GE_GERICHTE ATAS/992/2012 du 22 août 2012</w:t>
      </w:r>
    </w:p>
    <w:p>
      <w:r>
        <w:t>IT: GE_GERICHTE ATAS/992/2012 del 22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w:t>
      </w:r>
    </w:p>
    <w:p>
      <w:r>
        <w:t>- 3/5-</w:t>
      </w:r>
    </w:p>
    <w:p>
      <w:r>
        <w:t>A/1012/2012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w:t>
      </w:r>
    </w:p>
    <w:p>
      <w:r>
        <w:t>- 4/5-</w:t>
      </w:r>
    </w:p>
    <w:p>
      <w:r>
        <w:t>A/1012/2012 qu'elle le représente (cf. ATF 110 V 37 consid. 3) a reçu le pli ou l'a retiré au guichet postal en cas d'absence lors du passage du facteur (ATFA non publié du 11 avril 2005, C 24/05 consid. 4.1). En l'occurrence, la décision litigieuse a été notifiée à la recourante le 23 février 2012. Le délai de recours a commencé à courir le 24 février 2012 est arrivé à échéance le samedi 24 mars 2012, délai qu’il convient de reporter au premier jour ouvrable utile, à savoir le lundi 26 mars 2012. Par conséquent, le recours posté le 30 mars 2012 n’a pas été interjeté en temps utile.</w:t>
      </w:r>
    </w:p>
    <w:p>
      <w:r>
        <w:rPr>
          <w:b/>
        </w:rPr>
        <w:t>E. 4</w:t>
      </w:r>
    </w:p>
    <w:p>
      <w:r>
        <w:t>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 l'espèce, force est de constater que la recourante n’a fait valoir aucun motif de restitution de délai dans le délai imparti par la Cour de céans. Par conséquent, le recours doit être déclaré irrecevable pour cause de tardiveté.</w:t>
      </w:r>
    </w:p>
    <w:p>
      <w:r>
        <w:t>- 5/5-</w:t>
      </w:r>
    </w:p>
    <w:p>
      <w:r>
        <w:t>A/1012/2012</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