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ATAS/992/2010 vom 4. Oktober 2010</w:t>
      </w:r>
    </w:p>
    <w:p>
      <w:r>
        <w:t>GE Cour de justice, 2010-10-04, FR</w:t>
      </w:r>
    </w:p>
    <w:p>
      <w:r>
        <w:rPr>
          <w:b/>
        </w:rPr>
        <w:t xml:space="preserve">Quelle: </w:t>
      </w:r>
      <w:r>
        <w:t>https://mcp.opencaselaw.ch/entscheid/ge_gerichte_ATAS_992_2010</w:t>
      </w:r>
    </w:p>
    <w:p>
      <w:r>
        <w:t>FR: GE_GERICHTE ATAS/992/2010 du 4 octobre 2010</w:t>
      </w:r>
    </w:p>
    <w:p>
      <w:r>
        <w:t>IT: GE_GERICHTE ATAS/992/2010 del 4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Les modifications apportées par la loi fédérale du 16 décembre 2005 modifiant la loi fédérale sur l'assurance-invalidité en matière de procédure sont applicables enn l'espèce dès lors que le recours a été formé après le 1er juillet 2006 (ch. II let. c des dispositions transitoires relatives à la modification du 16 décembre 2005).</w:t>
      </w:r>
    </w:p>
    <w:p>
      <w:r>
        <w:t>A/4010/2008 - 8/12 -</w:t>
      </w:r>
    </w:p>
    <w:p>
      <w:r>
        <w:rPr>
          <w:b/>
        </w:rPr>
        <w:t>E. 3</w:t>
      </w:r>
    </w:p>
    <w:p>
      <w:r>
        <w:t>Interjeté dans les délai et formes prescrits par la loi, le recours est recevable (art. 56ss LPGA).</w:t>
      </w:r>
    </w:p>
    <w:p>
      <w:r>
        <w:rPr>
          <w:b/>
        </w:rPr>
        <w:t>E. 4</w:t>
      </w:r>
    </w:p>
    <w:p>
      <w:r>
        <w:t>Le litige porte sur le taux d’invalidité du recourant et son éventuel droit à des prestations de l’assurance-invalidité.</w:t>
      </w:r>
    </w:p>
    <w:p>
      <w:r>
        <w:rPr>
          <w:b/>
        </w:rPr>
        <w:t>E. 5</w:t>
      </w:r>
    </w:p>
    <w:p>
      <w:r>
        <w:t>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À teneur de la jurisprudence constante du Tribunal fédéral, une dépendance comme l’alcoolisme, la pharmacodépendance ou la toxicomanie ne constitue pas en soi une</w:t>
      </w:r>
    </w:p>
    <w:p>
      <w:r>
        <w:t>A/4010/2008 - 9/12 -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w:t>
      </w:r>
    </w:p>
    <w:p>
      <w:r>
        <w:rPr>
          <w:b/>
        </w:rPr>
        <w:t>E. 6</w:t>
      </w:r>
    </w:p>
    <w:p>
      <w:r>
        <w:t>Selon l'art. 28 al. 1 LAI - dans sa teneur en vigueur jusqu'au 31 décembre 2003 -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auparavant accordée à un assuré dès que le degré d'invalidité atteignait 66 2/3 %, la loi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A/4010/2008 - 10/12 -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w:t>
      </w:r>
    </w:p>
    <w:p>
      <w:r>
        <w:rPr>
          <w:b/>
        </w:rPr>
        <w:t>E. 8</w:t>
      </w:r>
    </w:p>
    <w:p>
      <w:r>
        <w:t>En l'occurrence, de nombreuses évaluations des médecins traitants, notamment du Département de médecine communautaire des HUG, figurent au dossier. Par ailleurs, l'assuré a été soumis, en 2006, à une expertise, comportant un volet psychiatrique, également effectuée par le Département de médecine communautaire. Tant les médecins traitants que les experts soulignent la nécessité de procéder à une nouvelle évaluation de la capacité de travail si un traitement antidépresseur était pris de façon régulière et le sevrage réussi (rapport d'expertise du 14 mars 2006, rapport de la Dresse T_________ des HUG du 10 août 2007). En l'état, il apparait nécessaire au Tribunal de céans de procéder à une expertise judiciaire ayant pour but de déterminer si le recourant présente encore un trouble psychique ayant une répercussion sur sa capacité de travail, dans l'affirmative, si ce trouble est consécutif à la dépendance et si un sevrage a pu être mené à terme avec succès.</w:t>
      </w:r>
    </w:p>
    <w:p>
      <w:r>
        <w:t>A/4010/2008 - 11/12 -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