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ATAS/991/2024 vom 10. Dezember 2024</w:t>
      </w:r>
    </w:p>
    <w:p>
      <w:r>
        <w:t>GE Cour de justice, 2024-12-10, FR</w:t>
      </w:r>
    </w:p>
    <w:p>
      <w:r>
        <w:rPr>
          <w:b/>
        </w:rPr>
        <w:t xml:space="preserve">Quelle: </w:t>
      </w:r>
      <w:r>
        <w:t>https://mcp.opencaselaw.ch/entscheid/ge_gerichte_ATAS_991_2024</w:t>
      </w:r>
    </w:p>
    <w:p>
      <w:r>
        <w:t>FR: GE_GERICHTE ATAS/991/2024 du 10 décembre 2024</w:t>
      </w:r>
    </w:p>
    <w:p>
      <w:r>
        <w:t>IT: GE_GERICHTE ATAS/991/2024 del 10 dicembre 2024</w:t>
      </w:r>
    </w:p>
    <w:p>
      <w:pPr>
        <w:pStyle w:val="Heading2"/>
      </w:pPr>
      <w:r>
        <w:t>Erwägungen</w:t>
      </w:r>
    </w:p>
    <w:p>
      <w:r>
        <w:rPr>
          <w:b/>
        </w:rPr>
        <w:t>E. 1.1</w:t>
      </w:r>
    </w:p>
    <w:p>
      <w:r>
        <w:t>Conformément à l'art. 134 al. 1 let. a ch. 2 de la loi sur l'organisation judiciaire du 26 septembre 2010 (LOJ - E 2 05), la chambre des assurances sociales de la</w:t>
      </w:r>
    </w:p>
    <w:p>
      <w:r>
        <w:t>A/442/2024 - 13/22 -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de loi sur la procédure administrative du 12 septembre 1985 [LPA - E 5 10]). 2. Le litige porte sur le bien-fondé de la décision du 4 janvier 2024, par laquelle l’intimé a nié le droit de la recourante à une rente d’invalidité, au motif que son degré d’invalidité était insuffisant. 3.</w:t>
      </w:r>
    </w:p>
    <w:p>
      <w:r>
        <w:t>3.1 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3.2 En l’occurrence, la décision querellée porte sur l’octroi d’une rente dont le droit est né postérieurement au 31 décembre 2021, de sorte que les dispositions légales applicables seront citées dans leur nouvelle teneur.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w:t>
      </w:r>
    </w:p>
    <w:p>
      <w:r>
        <w:t>A/442/2024 - 14/22 - (art. 6 LPGA) d'au moins 40% en moyenne durant une année sans interruption notable (let. b) ; au terme de cette année, il est invalide (art. 8 LPGA) à 40% au moins (let. c). D’après l’art. 28b LAI, la quotité de la rente est fixée en pourcentage d’une rente entière. Pour un taux d’invalidité compris entre 50 et 69%, la quotité de la rente correspond au taux d’invalidité. Pour un taux d’invalidité supérieur ou égal à 70%, l’assuré a droit à une rente entière. Pour un taux d’invalidité inférieur à 50%, la quotité de la rente est fixée selon un tableau. 4.1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(al. 3). À teneur de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ne pas exercer d’activité lucrative au sens de l’art. 28a al. 2 LAI dès lors qu’en bonne santé, il n’exercerait pas d’activité lucrative (al. 2 let. b), exercer une activité lucrative à temps partiel au sens de l’art. 28a al. 3 LAI dès lors qu’en bonne santé, il exercerait une activité lucrative à un taux d’occupation de moins de 100% (al. 2 let. c). Selon l’art. 27bis RAI, le taux d’invalidité des personnes qui exercent une activité lucrative à temps partiel est déterminé par l’addition des taux suivants : le taux d’invalidité en lien avec l’activité lucrative (al. 1 let. a) ; le taux d’invalidité en lien avec les travaux habituels (al. 1 let. b). Le taux d’invalidité en lien avec l’activité lucrative est déterminé : en extrapolant le revenu sans invalidité pour</w:t>
      </w:r>
    </w:p>
    <w:p>
      <w:r>
        <w:t>A/442/2024 - 15/22 - une activité lucrative correspondant à un taux d’occupation de 100% (al. 2 let. a) ; en calculant le revenu avec invalidité sur la base d’une activité lucrative correspondant à un taux d’occupation de 100% et en l’adaptant selon la capacité fonctionnelle déterminante (al. 2 let. b) ; en pondérant la perte de gain exprimée en pourcentage en fonction du taux d’occupation qu’aurait l’assuré s’il n’était pas invalide (al. 2 let. c). Le taux d’invalidité en lien avec les travaux habituels est calculé : en déterminant le pourcentage que représentent les limitations dans les travaux habituels par rapport à la situation dans laquelle l’assuré serait sans invalidité (al. 3 let. a) ; en pondérant le pourcentage déterminé à la let. a en fonction de la différence entre le taux d’occupation visé à l’al. 2 let. c, et une activité lucrative exercée à plein temps (al. 3 let. b). 4.2 Le choix de l'une des trois méthodes d'évaluation de l'invalidité reconnues, soit la méthode générale de comparaison des revenus (art. 28a al. 1 LAI en corrélation avec l'art. 16 LPGA), la méthode spécifique (art. 28a al. 2 LAI en corrélation avec les art. 27 RAI et 8 al. 3 LPGA), ou la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4.3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A/442/2024 - 16/22 -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w:t>
      </w:r>
    </w:p>
    <w:p>
      <w:r>
        <w:t>A/442/2024 - 17/22 -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 du Tribunal fédéral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 Pour satisfaire à l'obligation de réduire le dommage (ATF 141 V 642 consid. 4.3.2 ; 140 V 267 consid. 5.2.1 ; 133 V 504 consid. 4.2),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308/04 du 14 janvier 2005 consid. 6.2.1).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t>A/442/2024 - 18/22 -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 Selon la jurisprudence, il convient d’accorder la préférence aux premières déclarations de l’assuré, qui correspondent généralement à celles que la personne a faites alors qu'elle n'était peut-être pas encore consciente des conséquences juridiques qu'elles auraient, les nouvelles explications pouvant être, consciemment ou non, le produit de réflexions ultérieures (ATF 142 V 590 consid. 5.2 ; 121 V 45 consid. 2a et les arrêts cités).</w:t>
      </w:r>
    </w:p>
    <w:p>
      <w:r>
        <w:rPr>
          <w:b/>
        </w:rPr>
        <w:t>E. 6</w:t>
      </w:r>
    </w:p>
    <w:p>
      <w:r>
        <w:t>En l’espèce, dans sa décision entreprise, l’intimé a tenu compte d’un statut mixte comprenant une part professionnelle de 30% et une part ménagère de 70%. Il a admis que la recourante était totalement incapable de travailler depuis le 5 décembre 2020, de sorte que son degré d’invalidité s’élevait à 30% dans la sphère professionnelle. Pour la part ménagère, il s’est fondé sur l’enquête réalisée au domicile de l’intéressée et a retenu un empêchement de 11.75%, correspondant à un taux d’invalidité de 8.2% pour les travaux habituels. Il en résultait ainsi un degré d’invalidité total de 38.2%. La recourante fait valoir que son taux d’activité a augmenté au cours de sa carrière professionnelle et qu’elle travaillait en réalité à un pourcentage plus important que celui mentionné dans le formulaire de l’employeur, rappelant notamment qu’il s’agissait de l’entreprise de son époux. Elle conteste également le statut retenu pour calculer son degré d’invalidité et soutient qu’elle aurait travaillé à 100% sans atteinte à la santé, étant souligné qu’elle était séparée de son époux et libérée de toute tâche éducative. Enfin, elle remet en cause les conclusions de l’enquête ménagère s’agissant de ses empêchements, se référant aux rapports des médecins et spécialistes qui la suivent.</w:t>
      </w:r>
    </w:p>
    <w:p>
      <w:r>
        <w:rPr>
          <w:b/>
        </w:rPr>
        <w:t>E. 6.1</w:t>
      </w:r>
    </w:p>
    <w:p>
      <w:r>
        <w:t>S’agissant du taux d’activité professionnelle, la recourante a indiqué, dans sa demande de prestations, avoir travaillé à 40% pour un revenu brut d’environ CHF 1'600.-. Dans le questionnaire pour l’employeur, son mari a répondu qu’elle avait travaillé, du 1er janvier 2002 au 5 décembre 2020, selon un horaire variable, à concurrence de 12.5 heures par semaine. Il a noté les montants versés pour les années 2018, 2019 et 2020, détaillant les salaires mensuels et les gratifications,</w:t>
      </w:r>
    </w:p>
    <w:p>
      <w:r>
        <w:t>A/442/2024 - 19/22 - ainsi que les revenus annuels qui en résultent. Ces derniers (CHF 20'040.- pour 2018, CHF 19'932.- pour 2019 et CHF 19'938.- pour 2020) correspondent précisément à ceux figurant dans l’extrait de compte individuel. Ils concordent également avec la valeur approximative mentionnée par la recourante (CHF 1'670.- par mois pour 2018, CHF 1'661.- pour 2019 et CHF 1'661.50 pour 2020). En outre, l’employeur a indiqué que ces gains annuels étaient versés pour un total de 600 heures de travail, ce qui correspond à l’horaire hebdomadaire de 12.5 heures, compte tenu de 4 semaines de vacances par année. L’argumentation de la recourante, qui soutient avoir augmenté son taux d’activité au fur et à mesure que ses enfants ont gagné en indépendance, comme attesté par l’évolution de son salaire, ne saurait être suivie. En effet, selon son extrait de compte individuel, elle a perçu des revenus annuels de CHF 12'000.- de 2003 à CHF 2013, de CHF 47'909.- en 2014 et de CHF 20'400.- de 2015 à 2018. Ainsi, à l’exception de 2014, année durant laquelle elle a également travaillé pour un autre employeur selon les allégations des parties, sa rémunération est restée stable et a connu une seule augmentation, lorsque le salaire versé par la fiduciaire de son mari est passé de CHF 12'000.- à CHF 20'040.-, étant précisé qu’il n’est pas possible de déterminer si cette augmentation est survenue en 2014 ou 2015, puisque le revenu annuel de 2014 comprend un second salaire. Si cette augmentation permet effectivement de douter que le taux d’activité de l’employée n’a pas du tout varié depuis 2002, il peut toutefois être tenu pour établi, au degré de la vraisemblance prépondérante requis, que l’employeur a renseigné l’intimé sur la situation qui prévalait juste avant l’incapacité de travail, et non pas sur celle qui aurait existé plus de dix ans auparavant. D’ailleurs, il a expressément mentionné que le salaire annuel versé pour les années 2018 à 2020 correspondait à 600 heures de travail, soit un horaire hebdomadaire de 12.5 heures. Au vu de ces indications précises et cohérentes, il ne se justifie pas d’interpeller l’employeur, ce d’autant plus qu’il s’agit de l’époux de la recourante et que d’éventuelles nouvelles déclarations divergentes devraient être appréhendées avec circonspection, au vu des premières explications dénuées de toute ambigüité. L’intimé pouvait donc se fonder sur le questionnaire du 16 février 2021 pour conclure que la recourante avait travaillé, à tout le moins de 2015 à 2020, date du début de son incapacité durable de travail, à hauteur de 12.5 heures par semaine. Cependant, compte tenu de l’horaire hebdomadaire normal dans l’entreprise, soit 40 heures par semaine, le taux d’activité s’élève en réalité à 31.25%, et non pas à 30%.</w:t>
      </w:r>
    </w:p>
    <w:p>
      <w:r>
        <w:rPr>
          <w:b/>
        </w:rPr>
        <w:t>E. 6.2</w:t>
      </w:r>
    </w:p>
    <w:p>
      <w:r>
        <w:t>En ce qui concerne le statut, il ressort du rapport d’enquête ménagère que la recourante a répondu que sans atteinte à la santé, elle aurait poursuivi son activité professionnelle au sein de la fiduciaire de son époux « au même taux, jusqu’à l’âge de l’AVS ». L’évaluatrice a d’ailleurs noté que l’intéressée avait répondu « d’emblée » « la même chose ».</w:t>
      </w:r>
    </w:p>
    <w:p>
      <w:r>
        <w:t>A/442/2024 - 20/22 - Que cette mention se rapporte au taux de 30% retenu par l’évaluatrice sur la base du mandat d’enquête ménagère, ou à un pourcentage supérieur auquel la recourante allègue avoir travaillé, est sans pertinence, dès lors qu’il s’agit dans les deux cas incontestablement d’une activité à temps partiel. La recourante ne conteste au demeurant pas avoir exclusivement travaillé à temps partiel durant toute sa carrière professionnelle. Contrairement à ce qu’elle soutient, l’organisation de sa vie familiale et ses problèmes de santé ne permettent pas de remettre en cause le statut mixte retenu. Si elle a provisoirement augmenté son activité en 2014, elle a réduit son taux dès l’année suivante en travaillant à nouveau uniquement pour la fiduciaire de son époux. À cette époque, soit en 2015, les trois enfants du couple étaient majeurs. La recourante était donc déjà libérée de ses tâches éducatives et aurait pu augmenter son taux d’activité, au lieu de le diminuer. Par la suite, les époux se sont séparés au mois de juin 2019 et la recourante a déménagé. En dépit de la péjoration de sa situation financière qui s’est inévitablement ensuivie, elle n’a pas augmenté son taux d’activité, ni ne démontre avoir recherché un autre emploi pour accroitre ses revenus. Elle a donc continué à travailler à temps partiel jusqu’à sa rupture d’anévrisme en décembre 2020, soit durant une année et demi, alors que ses enfants, dont le plus jeune était âgé de 23 ans, étaient restés au domicile familial. Il sied également de relever que la recourante a été interrogée par l’évaluatrice sur sa situation financière et qu’elle lui a répondu que ses revenus, composés de son salaire et de sa contribution d’entretien, lui suffisaient. Enfin, sa récente prise d’activité encadrée dans un milieu protégé ne permet de tirer aucune conclusion quant à ses intentions de travailler en bonne santé. D’ailleurs, il ressort du rapport d’ergothérapie à domicile du 27 novembre 2023 que cette activité occupationnelle vise également à rythmer les journées de l’intéressée et à retrouver un environnement plus stimulant où se sentir utile, soit des objectifs qui résultent de l’atteinte à la santé et n’existaient pas auparavant. Dans ces conditions, l’intimé a retenu à bon droit que le degré d’invalidité devait être déterminé en tenant compte d’un statut mixte.</w:t>
      </w:r>
    </w:p>
    <w:p>
      <w:r>
        <w:rPr>
          <w:b/>
        </w:rPr>
        <w:t>E. 6.3</w:t>
      </w:r>
    </w:p>
    <w:p>
      <w:r>
        <w:t>Enfin, s’agissant des conclusions de l’enquête ménagère, la chambre de céans constate que l’intimé n’a pas suivi les recommandations de son SMR, qui avait préconisé, dans ses avis des 23 mars et 9 juin 2023, de réévaluer l’enquête en tenant compte de l’anosognosie et en effectuant une hétéro-anamnèse auprès de l’ergothérapeute, mais également des proches. L’appréciation des enquêtrices, qui ont conclu que la situation avait favorablement évolué d’après le rapport de l’ergothérapeute et qu’une nouvelle enquête ne se justifiait donc pas, omet de prendre en considération les conclusions de ladite ergothérapeute. Cette dernière a en effet elle aussi estimé, dans son rapport du 27 novembre 2023, que le bon fonctionnement de la recourante devrait</w:t>
      </w:r>
    </w:p>
    <w:p>
      <w:r>
        <w:t>A/442/2024 - 21/22 - être confirmé par l’entourage, relevant que ses conclusions après trois mois de prise en charge reposaient pour l’essentiel sur la vision de la recourante, qui pouvait être erronée. L’intimé aurait donc dû suivre ces recommandations, ce d’autant plus que la Dre E______ avait indiqué, dans ses rapports des 17 mars et 25 août 2023, s’interroger sur une mesure de curatelle de gestion au vu des importantes difficultés et des inquiétudes des proches de la recourante, étayés de nombreux exemples concrets. Dans ces circonstances, une nouvelle appréciation sur les empêchements rencontrés par la recourante dans les activités habituelles s’impose.</w:t>
      </w:r>
    </w:p>
    <w:p>
      <w:r>
        <w:rPr>
          <w:b/>
        </w:rPr>
        <w:t>E. 6.4</w:t>
      </w:r>
    </w:p>
    <w:p>
      <w:r>
        <w:t>Partant, la décision litigieuse doit être annulée et la cause renvoyée à l’intimé pour qu'il procède à une nouvelle enquête économique sur le ménage afin de déterminer le degré d’invalidité de la recourante dans les travaux habituels. Il lui incombera ensuite de rendre une nouvelle décision, en corrigeant les pondérations retenues et en prenant en considération des taux d’activités de 31.25% dans la sphère professionnelle et de 68.75% dans la sphère ménagère.</w:t>
      </w:r>
    </w:p>
    <w:p>
      <w:r>
        <w:rPr>
          <w:b/>
        </w:rPr>
        <w:t>E. 7</w:t>
      </w:r>
    </w:p>
    <w:p>
      <w:r>
        <w:t>Au vu de ce qui précède, le recours sera partiellement admis, la décision du 4 janvier 2024 annulée et la cause renvoyée à l’intimé pour nouvelle décision dans le sens des considérants.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A/442/2024 - 22/22 -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