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ATAS/991/2018 vom 25. Oktober 2018</w:t>
      </w:r>
    </w:p>
    <w:p>
      <w:r>
        <w:t>GE Cour de justice, 2018-10-25, FR</w:t>
      </w:r>
    </w:p>
    <w:p>
      <w:r>
        <w:rPr>
          <w:b/>
        </w:rPr>
        <w:t xml:space="preserve">Quelle: </w:t>
      </w:r>
      <w:r>
        <w:t>https://mcp.opencaselaw.ch/entscheid/ge_gerichte_ATAS_991_2018</w:t>
      </w:r>
    </w:p>
    <w:p>
      <w:r>
        <w:t>FR: GE_GERICHTE ATAS/991/2018 du 25 octobre 2018</w:t>
      </w:r>
    </w:p>
    <w:p>
      <w:r>
        <w:t>IT: GE_GERICHTE ATAS/991/2018 del 25 ottobre 2018</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En l’espèce, le lieu de travail de la demanderesse était à Genève, si bien que la compétence de la chambre de céans est donnée tant à raison du lieu que de la matière.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3</w:t>
      </w:r>
    </w:p>
    <w:p>
      <w:r>
        <w:t>Le litige porte sur le droit de la demanderesse à des prestations d’invalidité de la prévoyance professionnelle au-delà du 31 août 2014.</w:t>
      </w:r>
    </w:p>
    <w:p>
      <w:r>
        <w:rPr>
          <w:b/>
        </w:rPr>
        <w:t>E. 4</w:t>
      </w:r>
    </w:p>
    <w:p>
      <w:r>
        <w:t>L’art. 10 LPP dispose que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en cas de dissolution des rapports de travail (let. b) ; lorsque le salaire minimum n'est plus atteint (let. c);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Lorsque l’affiliation à l’assurance a cessé en raison de la dissolution des rapports de travail, il importe peu que l’employeur continue de verser le salaire, car cela n’a pas pour effet de prolonger les rapports de travail (Jürg BRECHBÜHL in Jacques-</w:t>
      </w:r>
    </w:p>
    <w:p>
      <w:r>
        <w:t>A/4543/2017 - 13/22 - André SCHNEIDER / Thomas GEISER / Thomas GÄCHTER [édit.], Commentaire LPP et LFLP, n. 12 ad 10 LPP ; arrêt du Tribunal fédéral des assurances B 90/06 du 25 mai 2007 consid. 4.2).</w:t>
      </w:r>
    </w:p>
    <w:p>
      <w:r>
        <w:rPr>
          <w:b/>
        </w:rPr>
        <w:t>E. 5</w:t>
      </w:r>
    </w:p>
    <w:p>
      <w:r>
        <w:t>Selon l’art. 23 let. a LPP,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w:t>
      </w:r>
    </w:p>
    <w:p>
      <w:r>
        <w:rPr>
          <w:b/>
        </w:rPr>
        <w:t>E. 6</w:t>
      </w:r>
    </w:p>
    <w:p>
      <w:r>
        <w:t>Conformément à l'art. 26 al. 1 LPP, les dispositions de la loi fédérale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w:t>
      </w:r>
    </w:p>
    <w:p>
      <w:r>
        <w:rPr>
          <w:b/>
        </w:rPr>
        <w:t>E. 7</w:t>
      </w:r>
    </w:p>
    <w:p>
      <w:r>
        <w:t>L’assureur qui rend une décision touchant l’obligation d’un autre assureur d’allouer des prestations est tenu de lui en communiquer un exemplaire. Cet autre assureur</w:t>
      </w:r>
    </w:p>
    <w:p>
      <w:r>
        <w:t>A/4543/2017 - 14/22 - dispose des mêmes voies de droit que l’assuré (art. 49 al. 4 de la loi fédérale sur la partie générale du droit des assurances sociales [LPGA ; RS 830.1]). Lorsqu'elle n'est pas intégrée à la procédure, la fondation de prévoyance - qui dispose d'un droit de recours propre dans les procédures régies par la LAI - n’est pas liée par l'évaluation de l'invalidité (principe, taux et début du droit) à laquelle ont procédé les organes de l'assurance-invalidité (arrêt du Tribunal fédéral des assurances B 110/05 du 31 janvier 2007 consid. 6.2). Par ailleurs, lorsque l'annonce pour obtenir des prestations de l'assurance-invalidité a été faite tardivement, il n'y a aucune raison, du point de vue de l'assurance- 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w:t>
      </w:r>
    </w:p>
    <w:p>
      <w:r>
        <w:rPr>
          <w:b/>
        </w:rPr>
        <w:t>E. 8</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En ce qui concerne la durée de la capacité de travail interrompant le rapport de connexité temporelle, on peut s'inspirer de la règle de l'art. 88a al. 1 du règlement sur l’assurance-invalidité (RAI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w:t>
      </w:r>
    </w:p>
    <w:p>
      <w:r>
        <w:t>A/4543/2017 - 15/22 -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9C_503/2013 du 25 février 2014 consid. 3.2).</w:t>
      </w:r>
    </w:p>
    <w:p>
      <w:r>
        <w:rPr>
          <w:b/>
        </w:rPr>
        <w:t>E. 9</w:t>
      </w:r>
    </w:p>
    <w:p>
      <w:r>
        <w:t>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in Commentaire LPP et LFLP, n. 9 ad art. 23 LPP). Compte tenu de la définition de l’incapacité de travail, il est avant tout déterminant de savoir si une atteinte à la santé a eu des répercussions sur les rapports de travail. Du point de vue du droit du travail, cela implique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(RSAS 2003 p. 434 ; arrêts du Tribunal fédéral des assurances B 69/06 du 22 novembre 2006 consid. 2.2 et B 86/01 du 28 juillet 2003 consid. 5.3).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w:t>
      </w:r>
    </w:p>
    <w:p>
      <w:r>
        <w:t>A/4543/2017 - 16/22 -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10</w:t>
      </w:r>
    </w:p>
    <w:p>
      <w:r>
        <w:t>Aux termes de l’art. 5 du règlement de l’œuvre de prévoyance de l’entreprise B______ AG dans sa version en vigueur depuis le 1er janvier 2012 (ci-après le règlement), il y a invalidité lorsque l’assuré est invalide au sens de l’assurance- invalidité ou lorsqu’il est médicalement établi, sur la base de signes objectifs, qu’il n’est totalement ou partiellement plus en mesure d’exercer sa profession ou une autre activité lucrative conforme à sa position sociale, à ses connaissances et à ses aptitudes (ch. 1). Si la personne assurée présente une invalidité partielle, le montant des prestations d’invalidité est déterminé en fonction du degré d’invalidité. Une invalidité partielle de moins de 25% ne donne pas droit aux prestations ; une invalidité partielle d’au moins 25%, mais de moins de 60%, donne droit à un certain pourcentage des prestations fixées pour une invalidité totale, en fonction du degré d’invalidité ; une invalidité d’au moins 60% mais ne dépassant pas 70% donne droit à 75% des prestations fixées pour une invalidité totale ; une invalidité supérieure ou égale à 70% donne droit aux prestations fixées pour une invalidité totale. Si, en cas d’invalidité, des prestations sont dues conformément à la LPP, le degré d’invalidité correspond au moins à celui que reconnaît l’assurance-invalidité (ch. 2). Si l’invalidité a été causée ou aggravée intentionnellement, seules les prestations minimales prescrites par la LPP sont accordées ; elles seront toutefois réduites dans la mesure où l’assurance-invalidité réduit ou refuse les siennes. Ces dispositions s’appliquent également si l’invalidité est imputable à la participation active de la personne assurée à une guerre, à des hostilités présentant le caractère d’opérations de guerre ou à des troubles, sans que la Suisse soit elle-même en guerre ou engagée dans des hostilités de cette nature (ch. 3). En vertu de l’art. 9 ch. 1, lorsque le sinistre relève de l’assurance-accidents, la rente d’invalidité est assurée conformément aux prestations minimales prévues par la LPP. Conformément à l’art. 26 du règlement, les prestations de survivants et d’invalidité assurées au moment de la dissolution des rapports de prévoyance sont maintenues sans changement jusqu’au moment où l’assuré est engagé par un nouvel employeur, mais au plus pendant un mois (ch. 1). Si l’assuré ne disposait pas de sa pleine</w:t>
      </w:r>
    </w:p>
    <w:p>
      <w:r>
        <w:t>A/4543/2017 - 17/22 - capacité de travail au moment de la dissolution des rapports de prévoyance ou à l’expiration de la prolongation de la couverture d’assurance et que dans les 360 jours qui suivent, il est reconnu invalide au sens de l’art. 5, les prestations réglementaires d’invalidité sont exigibles. Si, dans les 90 jours subséquents, l’invalidité s’aggrave pour la même cause, les prestations réglementaires sont également accordées au titre de l’augmentation du degré d’invalidité. Si l’assuré était invalide au moment de la dissolution des rapports de prévoyance ou à l’expiration de la prolongation de la couverture d’assurance et que dans les 90 jours qui suivent, l’invalidité s’aggrave pour la même cause, les prestations réglementaires sont également accordées au titre de l’augmentation du degré d’invalidité. Dans les cas où l’invalidité survient ou s’aggrave après ces délais, un éventuel droit aux prestations d’invalidité ou à l’augmentation de celles-ci se détermine exclusivement d’après les dispositions de la LPP. Sont versées au plus les prestations minimales selon la LPP (ch. 2). Si des prestations de survivants ou d’invalidité doivent être versées après l’exécution des obligations correspondant à la créance de libre passage, la prestation de libre passage doit être restituée dans la mesure où elle est nécessaire pour servir les prestations en cours ou pour financer l’assurance de prestations futures. Faute de restitution, les prestations de survivants et d’invalidité sont réduites (ch. 3). L’art. 21 du règlement prévoit que l’obligation de cotiser prend effet au moment de l’admission dans l’œuvre de prévoyance; elle dure jusqu’au décès de l’assuré, mais au plus tard jusqu’à l’âge ordinaire de la retraite ou jusqu’au moment où il sort de l’œuvre de prévoyance par suite de dissolution prématurée des rapports de travail. L’al. 4 est réservé (ch. 2). Les cotisations de l’assuré invalide cessent d’être dues dès l’expiration d’un délai d’attente de 6 mois, au plus tard cependant dès l’exigibilité de la rente de l’assurance-invalidité, et ce en fonction du degré d’invalidité (ch. 4). C’est ici le lieu de rappeler que le règlement de prévoyance doit être interprété selon les règles générales sur l’interprétation des contrats. Il y a lieu de rechercher, tout d’abord, la réelle et commune intention des parties,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Il y a lieu également de tenir</w:t>
      </w:r>
    </w:p>
    <w:p>
      <w:r>
        <w:t>A/4543/2017 - 18/22 - compte du mode d’interprétation spécifique aux conditions générales, notamment la règle de la clause peu claire et la règle dite de l’inhabituel ou de l’insolite (ATF 131 V 27 consid. 2.2 ; arrêt du Tribunal fédéral des assurances B 103/04 du 2 novembre 2005 consid. 2.1).</w:t>
      </w:r>
    </w:p>
    <w:p>
      <w:r>
        <w:rPr>
          <w:b/>
        </w:rPr>
        <w:t>E. 11</w:t>
      </w:r>
    </w:p>
    <w:p>
      <w:r>
        <w:t>En l’espèce, la défenderesse n’est pas formellement liée par la décision de l’OAI, dès lors qu’elle ne lui a pas été notifiée si l’on se réfère à la liste des destinataires. Cela étant, force est de constater que l’expertise des Drs I______ et J______ qui fonde la décision de l’OAI - doit se voir reconnaître une pleine valeur probante, car elle remplit tous les réquisits jurisprudentiels. En effet, s’agissant de rapports médicaux,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arrêt du Tribunal fédéral 9C_773/2007 du 23 juin 2008 consid. 2.1). La demanderesse ne produit d’ailleurs aucune pièce de nature à susciter des doutes sur les conclusions des médecins du SMR, dont elle a du reste admis le caractère probant dans son écriture du 14 novembre 2017. Partant, la Chambre de céans ne s’écartera pas des constatations de ces médecins, aux termes desquelles l’atteinte somatique n’a plus déployé d’effets dès le 1er septembre 2014, date à compter de laquelle seuls les troubles d’origine psychique ont limité la capacité de travail de la demanderesse. Ainsi, le droit aux prestations dès le 1er septembre 2014 est subordonné en premier lieu à la survenance d’une incapacité de travail pour motifs psychiques durant les rapports de prévoyance. C’est ici le lieu de rappeler que le critère déterminant pour la fin des rapports de prévoyance au sens de l’art. 10 LPP est la fin juridique des rapports de travail conformément aux critères de droit civil (ATF 120 V 15 consid. 2a). En l’espèce, la demanderesse a vu son contrat de travail résilié pour le 7 novembre 2012, et la juridiction prud’homale a confirmé la légalité du licenciement (arrêt de la Chambre des prud’hommes CAPH/52/2015). Partant, les rapports de prévoyance ont pris fin le 6 décembre 2012, conformément à l’art. 10 al. 3 LPP. Certes, une résiliation du contrat de travail en temps inopportun au sens de l’art. 336c CO a pour effet une suspension du délai de congé, ce qui conduit à une prolongation des rapports de prévoyance lorsque la résiliation du contrat de travail a été signifiée avant le délai de suspension (Isabelle VETTER-SCHREIBER, Kommentar zur beruflichen Vorsorge 3ème éd. 2013, n. 14 ad art. 10). Cela étant, la suspension des délais de congé ne s’applique pas en l’espèce, dès lors que la protection conférée par</w:t>
      </w:r>
    </w:p>
    <w:p>
      <w:r>
        <w:t>A/4543/2017 - 19/22 - l’art. 336c CO est exclue durant le temps d’essai (Jürg BRÜHWILER, Einzelarbeitsvertrag, 3ème éd. 2014, n° 1 ad art. 336c CO). Or, aucun médecin n’atteste d’une incapacité de travail pour des motifs psychologiques durant cette période. La première mention d’une atteinte thymique ressort du rapport de la Dresse D______ du 18 janvier 2013, cette spécialiste se bornant en outre à évoquer l’utilité d’une prise en charge psychiatrique - ce qui serait en toute hypothèse insuffisant pour admettre que cette atteinte entraînait alors une incapacité de travail. Partant, la survenance d’une incapacité de travail pour des motifs psychiques durant les rapports de prévoyance n’est pas démontrée au degré de la vraisemblance prépondérante. Les seules allégations de la demanderesse - qui semblent du reste contradictoires, dès lors qu’elle se rallie par ailleurs aux conclusions des Drs I______ et J______, comme on l’a vu - quant à la concomitance des troubles physiques et psychiques ne constituent pas un moyen de preuve, pas plus que le fait que la Chambre des Prud’hommes ait retenu que l’algarade avec sa collègue l’avait ébranlée. Par surabondance, même s’il fallait admettre, en dépit de l’absence de diagnostic ou d’arrêt de travail correspondants, que des troubles psychiques ont entravé la demanderesse dans l’exercice d’une activité lucrative dès la date de l’accident, on ne saurait faire abstraction de la rémission de ces troubles de novembre 2013 à juin 2014, que révèlent notamment la fin de la prise en charge spécialisée auprès de la Dresse E______ et les constatations de la Dresse H______, qui a noté que le trouble de l’adaptation était au décours en avril 2014. En toute hypothèse, un tel laps de temps, supérieur à six mois, suffirait à interrompre la connexité temporelle eu égard à la ligne directrice de trois mois suggérée par le Tribunal fédéral par analogie avec les dispositions du RAI.</w:t>
      </w:r>
    </w:p>
    <w:p>
      <w:r>
        <w:rPr>
          <w:b/>
        </w:rPr>
        <w:t>E. 12</w:t>
      </w:r>
    </w:p>
    <w:p>
      <w:r>
        <w:t>L’invocation par la demanderesse de l’art. 26 du règlement ne lui est d’aucun secours. En premier lieu, on relèvera que le chiffre premier de cette disposition ne fait que reprendre les termes de l’art. 10 al. 3 LPP et ne déroge ainsi pas au terme légal des rapports de prévoyance. S’agissant du chiffre deuxième, il ne saurait être compris comme une extension de la responsabilité de la défenderesse nonobstant l’absence de connexité matérielle entre l’incapacité de travail qui frappait l’assuré au moment de la fin de la couverture de prévoyance et l’invalidité subséquente. Certes, l’exigence d’une connexité matérielle n’est pas explicite s’agissant des cas d’invalidité survenus dans les 360 jours suivant la fin des rapports de prévoyance. Cependant, comme le souligne à juste titre la défenderesse, la mention d’une incapacité de travail lors de la fin des rapports de prévoyance serait inutile si cette disposition visait à prendre en charge toute invalidité, même sans lien matériel avec dite incapacité. On retrouve de plus cette condition de connexité matérielle expressément mentionnée s’agissant des cas d’aggravation de l’invalidité, puisqu’ils ne donnent droit aux prestations réglementaires que s’ils sont imputables à la même cause. En outre, compte tenu des précisions amenées in fine, l’art. 26</w:t>
      </w:r>
    </w:p>
    <w:p>
      <w:r>
        <w:t>A/4543/2017 - 20/22 - ch. 2 du règlement ne peut être compris autrement que comme limitant le droit aux prestations de la prévoyance étendue aux seuls cas d’invalidité survenue ou aggravée dans les délais qui y sont prévus. Ainsi, l’argumentation de la demanderesse ne résiste pas à une interprétation littérale du règlement. Par ailleurs, il n’existe aucun indice concret que la défenderesse ait voulu étendre sa responsabilité de manière aussi large à tous les cas d’invalidité survenus dans un certain laps de temps après la dissolution des rapports de prévoyance. Une telle solution serait du reste contraire à la loi, puisqu’elle dérogerait au régime de responsabilité ancré à l’art. 23 LPP. Son application soulèverait ainsi bon nombre de problèmes dans les cas où un assuré, après la fin des rapports de prévoyance avec la défenderesse, a été affilié auprès d’une autre institution de prévoyance alors qu’est survenue l’incapacité de travail ayant conduit à son invalidité. La demanderesse allègue encore que les rapports de prévoyance ont perduré au-delà du 6 décembre 2012, comme le prouverait l’établissement de certificats de prévoyance. Or, la remise de certificats ne fonde pas de droit aux prestations d’invalidité de la prévoyance professionnelle, étant rappelé que les renseignements figurant dans un certificat n'ont qu'un rôle informatif et ne sauraient en principe préjuger du droit futur de la personne assurée aux prestations (arrêt du Tribunal fédéral 9C_224/2010 du 1er septembre 2010 consid. 3.1). Pour le surplus, on peut certes regretter les formulations pour le moins ambiguës de la défenderesse dans ses courriers du 25 novembre 2016 et du 6 juin 2017 au sujet de l’assurance « active » et « passive ». L’exonération des cotisations à laquelle la défenderesse dit avoir procédé dès le 1er mai 2014 ne paraît en outre pas conforme au règlement, qui prévoit la fin de l’obligation de cotiser simultanément à la sortie de l’assuré. Elle semble du reste résulter d’une erreur d’appréciation, puisque la défenderesse a soutenu qu’elle devait attendre les résultats de la procédure opposant la demanderesse à son employeur pour clore le cas. La libération des primes ne suffit toutefois pas à conclure à la prolongation des rapports de prévoyance. La demanderesse allègue sur ce point que la défenderesse ne saurait revenir sur la prolongation de son affiliation sans violer le principe de la bonne foi. Il est vrai qu’en application de ce principe, ancré à l’art. 9 de la Constitution (Cst – RS 101), un renseignement erroné de l’institution de prévoyance peut fonder des effets juridiques et l’obliger, aux cinq conditions suivantes : l’institution est intervenue dans une situation concrète à l'égard de personnes déterminées, elle a agi dans les limites de ses compétences ou l’assuré était fondé à penser que tel était le cas, l’assuré n’a pas pu se rendre compte immédiatement de l'inexactitude du renseignement obtenu, il a pris des dispositions auxquelles il ne saurait renoncer sans subir de préjudice en se fondant sur ces assurances et la réglementation n'ait pas changé depuis le moment où le renseignement a été donné (VETTER- SCHREIBER, op. cit., n. 2 ad art. 73 ; arrêt du Tribunal fédéral 9C_419/2011 du</w:t>
      </w:r>
    </w:p>
    <w:p>
      <w:r>
        <w:rPr>
          <w:b/>
        </w:rPr>
        <w:t>E. 17</w:t>
      </w:r>
    </w:p>
    <w:p>
      <w:r>
        <w:t>septembre 2012). Ces conditions ne sont toutefois pas remplies en l’espèce. En effet, contrairement à ce que la demanderesse allègue, la défenderesse n’a jamais garanti une prolongation de la couverture de prévoyance. De plus, celle-ci n’affirme</w:t>
      </w:r>
    </w:p>
    <w:p>
      <w:r>
        <w:t>A/4543/2017 - 21/22 - pas avoir pris de mesures particulières en raison de ses expectatives présumées à l’encontre de la défenderesse. Partant, compte tenu de l’absence de couverture au moment de la survenance de l’incapacité de travail pour motifs psychiques qui est à l’origine de l’invalidité actuelle, la demanderesse n’a pas droit aux prestations d’invalidité de la prévoyance professionnelle. 13. Compte tenu des éléments qui précèdent, la demande est rejetée. La défenderesse conclut à l’octroi de dépens. Cependant,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Pour le surplus, la procédure est gratuite (art. 73 al. 2 LPP).</w:t>
      </w:r>
    </w:p>
    <w:p>
      <w:r>
        <w:t>A/4543/2017 - 22/22 -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