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ATAS/98/2022 vom 11. Februar 2022</w:t>
      </w:r>
    </w:p>
    <w:p>
      <w:r>
        <w:t>GE Cour de justice, 2022-02-11, FR</w:t>
      </w:r>
    </w:p>
    <w:p>
      <w:r>
        <w:rPr>
          <w:b/>
        </w:rPr>
        <w:t xml:space="preserve">Quelle: </w:t>
      </w:r>
      <w:r>
        <w:t>https://mcp.opencaselaw.ch/entscheid/ge_gerichte_ATAS_98_2022</w:t>
      </w:r>
    </w:p>
    <w:p>
      <w:r>
        <w:t>FR: GE_GERICHTE ATAS/98/2022 du 11 février 2022</w:t>
      </w:r>
    </w:p>
    <w:p>
      <w:r>
        <w:t>IT: GE_GERICHTE ATAS/98/2022 del 11 febbraio 2022</w:t>
      </w:r>
    </w:p>
    <w:p>
      <w:pPr>
        <w:pStyle w:val="Heading2"/>
      </w:pPr>
      <w:r>
        <w:t>Erwägungen</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w:t>
      </w:r>
    </w:p>
    <w:p>
      <w:r>
        <w:t>A/3736/2020 - 11/24 -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t>Selon une jurisprudence constante, la dépendance - qu’elle prenne la forme de l'alcoolisme, de la pharmacodépendance ou de la toxicomanie -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arrêt du Tribunal fédéral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w:t>
      </w:r>
    </w:p>
    <w:p>
      <w:r>
        <w:t>A/3736/2020 - 12/24 - compte de l'ensemble des limitations liées à la maladie psychique et à la dépendance (arrêt du Tribunal fédéral des assurances I 169/06 du 8 août 2006 consid. 2.2 et les références).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Tribunal fédéral 9C_618/2014 du 9 janvier 2015 consid. 5.4).</w:t>
      </w:r>
    </w:p>
    <w:p>
      <w:r>
        <w:t>Dans un arrêt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w:t>
      </w:r>
    </w:p>
    <w:p>
      <w:r>
        <w:t>A/3736/2020 - 13/24 - 2.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A/3736/2020 - 14/24 -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w:t>
      </w:r>
    </w:p>
    <w:p>
      <w:r>
        <w:t>A/3736/2020 - 15/24 -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Une nouvelle jurisprudence ou un changement de celle-ci s'applique immédiatement et vaut pour les cas futurs, ainsi que pour les affaires pendantes devant un tribunal au moment de l'adoption de la nouveauté ou du changement (ATF 140 V 154 consid. 6.3.2). Toutefois, le changement de jurisprudence précité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ou judiciaires - le cas échéant en les mettant en relation avec d'autres rapports médicaux - permettent ou non une appréciation concluante du cas à l'aune des indicateurs déterminants. En fonction du degré de clarification, un complément ponctuel peut suffire (ATF 141 V 281 consid. 8).</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A/3736/2020 - 16/24 -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A/3736/2020 - 17/24 -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A/3736/2020 - 18/24 -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w:t>
      </w:r>
    </w:p>
    <w:p>
      <w:r>
        <w:t>A/3736/2020 - 19/24 -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w:t>
      </w:r>
    </w:p>
    <w:p>
      <w:r>
        <w:t>A/3736/2020 - 20/24 -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12</w:t>
      </w:r>
    </w:p>
    <w:p>
      <w:r>
        <w:t>En l’espèce, l’OAI, se fondant sur l’expertise du Dr K______, a retenu que depuis 2008 la capacité de travail de l’assuré était entière dans une activité adaptée à ses atteintes somatiques avec une baisse de rendement de 20%.</w:t>
      </w:r>
    </w:p>
    <w:p>
      <w:r>
        <w:rPr>
          <w:b/>
        </w:rPr>
        <w:t>E. 13</w:t>
      </w:r>
    </w:p>
    <w:p>
      <w:r>
        <w:t>Décrire les activités quotidiennes de l'assuré, notamment une journée-type.</w:t>
      </w:r>
    </w:p>
    <w:p>
      <w:r>
        <w:rPr>
          <w:b/>
        </w:rPr>
        <w:t>E. 14</w:t>
      </w:r>
    </w:p>
    <w:p>
      <w:r>
        <w:t>Analyser les critères jurisprudentiels de gravité.</w:t>
      </w:r>
    </w:p>
    <w:p>
      <w:r>
        <w:rPr>
          <w:b/>
        </w:rPr>
        <w:t>E. 15</w:t>
      </w:r>
    </w:p>
    <w:p>
      <w:r>
        <w:t>Quelle est la capacité de travail de l’assuré : a) dans l’activité habituelle b) dans une activité adaptée.</w:t>
      </w:r>
    </w:p>
    <w:p>
      <w:r>
        <w:rPr>
          <w:b/>
        </w:rPr>
        <w:t>E. 16</w:t>
      </w:r>
    </w:p>
    <w:p>
      <w:r>
        <w:t>Dater la survenance de l’incapacité de travail durable, le cas échéant, indiquer l'évolution de son taux et décrire son évolution.</w:t>
      </w:r>
    </w:p>
    <w:p>
      <w:r>
        <w:rPr>
          <w:b/>
        </w:rPr>
        <w:t>E. 17</w:t>
      </w:r>
    </w:p>
    <w:p>
      <w:r>
        <w:t>Dire s'il y a une diminution de rendement et la chiffrer.</w:t>
      </w:r>
    </w:p>
    <w:p>
      <w:r>
        <w:rPr>
          <w:b/>
        </w:rPr>
        <w:t>E. 18</w:t>
      </w:r>
    </w:p>
    <w:p>
      <w:r>
        <w:t>De quelles ressources mobilisables l’assuré dispose-t-il ?</w:t>
      </w:r>
    </w:p>
    <w:p>
      <w:r>
        <w:rPr>
          <w:b/>
        </w:rPr>
        <w:t>E. 19</w:t>
      </w:r>
    </w:p>
    <w:p>
      <w:r>
        <w:t>Quel est le contexte social ? L’intéressé peut-il compter sur le soutien de ses proches ?</w:t>
      </w:r>
    </w:p>
    <w:p>
      <w:r>
        <w:rPr>
          <w:b/>
        </w:rPr>
        <w:t>E. 20</w:t>
      </w:r>
    </w:p>
    <w:p>
      <w:r>
        <w:t>Pour le cas où il y aurait refus ou mauvaise acceptation d’une thérapie recommandée et accessible : cette attitude doit-elle être attribuée à une incapacité de l’assuré à reconnaître sa maladie ?</w:t>
      </w:r>
    </w:p>
    <w:p>
      <w:r>
        <w:rPr>
          <w:b/>
        </w:rPr>
        <w:t>E. 21</w:t>
      </w:r>
    </w:p>
    <w:p>
      <w:r>
        <w:t>Quelle est l’influence des facteurs psychosociaux ?</w:t>
      </w:r>
    </w:p>
    <w:p>
      <w:r>
        <w:rPr>
          <w:b/>
        </w:rPr>
        <w:t>E. 22</w:t>
      </w:r>
    </w:p>
    <w:p>
      <w:r>
        <w:t>Formuler un pronostic global.</w:t>
      </w:r>
    </w:p>
    <w:p>
      <w:r>
        <w:rPr>
          <w:b/>
        </w:rPr>
        <w:t>E. 23</w:t>
      </w:r>
    </w:p>
    <w:p>
      <w:r>
        <w:t>Commenter et discuter les avis médicaux du SMR, des experts s’étant déjà prononcés et des médecins traitants et indiquer - cas échéant - pour quelles raisons ces avis sont confirmés ou écartés.</w:t>
      </w:r>
    </w:p>
    <w:p>
      <w:r>
        <w:rPr>
          <w:b/>
        </w:rPr>
        <w:t>E. 24</w:t>
      </w:r>
    </w:p>
    <w:p>
      <w:r>
        <w:t>Toute remarque utile et proposition de l’expert. 5. Invite l’expert à déposer à sa meilleure convenance un rapport en trois exemplaires à la chambre de céans. 6.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