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ATAS/98/2010 vom 21. Januar 2010</w:t>
      </w:r>
    </w:p>
    <w:p>
      <w:r>
        <w:t>GE Cour de justice, 2010-01-21, FR</w:t>
      </w:r>
    </w:p>
    <w:p>
      <w:r>
        <w:rPr>
          <w:b/>
        </w:rPr>
        <w:t xml:space="preserve">Quelle: </w:t>
      </w:r>
      <w:r>
        <w:t>https://mcp.opencaselaw.ch/entscheid/ge_gerichte_ATAS_98_2010</w:t>
      </w:r>
    </w:p>
    <w:p>
      <w:r>
        <w:t>FR: GE_GERICHTE ATAS/98/2010 du 21 janvier 2010</w:t>
      </w:r>
    </w:p>
    <w:p>
      <w:r>
        <w:t>IT: GE_GERICHTE ATAS/98/2010 del 21 gennaio 2010</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Sa compétence pour juger du cas d’espèce est ainsi établie.</w:t>
      </w:r>
    </w:p>
    <w:p>
      <w:r>
        <w:rPr>
          <w:b/>
        </w:rPr>
        <w:t>E. 3</w:t>
      </w:r>
    </w:p>
    <w:p>
      <w:r>
        <w:t>Déposé dans les forme et délai légaux (art. 56 à 60 LPGA), il y a lieu de déclarer le recours recevable.</w:t>
      </w:r>
    </w:p>
    <w:p>
      <w:r>
        <w:rPr>
          <w:b/>
        </w:rPr>
        <w:t>E. 4</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26 mars 2007, de même que les faits à la base de la présente cause, sont postérieurs à l'entrée en vigueur de la LPGA ainsi qu'à l'entrée en vigueur,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(ATF 130 V 445 et les références; voir également ATF 130 V 329), sans tenir compte des modifications intervenues dans le cadre de la 5ème révision de la LAI entrée en vigueur le 1er janvier 2008.</w:t>
      </w:r>
    </w:p>
    <w:p>
      <w:r>
        <w:rPr>
          <w:b/>
        </w:rPr>
        <w:t>E. 5</w:t>
      </w:r>
    </w:p>
    <w:p>
      <w:r>
        <w:t>Enfin,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6</w:t>
      </w:r>
    </w:p>
    <w:p>
      <w:r>
        <w:t>Est litigieux le droit du recourant à une rente entière d’invalidité dès le 1er janvier 2003.</w:t>
      </w:r>
    </w:p>
    <w:p>
      <w:r>
        <w:rPr>
          <w:b/>
        </w:rPr>
        <w:t>E. 7</w:t>
      </w:r>
    </w:p>
    <w:p>
      <w:r>
        <w:t>Par décision du 23 novembre 2004, l’OAI a reconnu à l’assuré le droit à une rente entière du 1er septembre 1999 jusqu’au 31 décembre 2002 puis une demi-rente dès</w:t>
      </w:r>
    </w:p>
    <w:p>
      <w:r>
        <w:t>A/1818/2007 - 11/17 - le 1er janvier 2003. Par décision sur opposition du 26 mars 2007, l’OAI a confirmé le contenu de sa décision du 23 novembre 2004. Dans son recours, le recourant a contesté cette décision en tant qu’elle remplaçait la rente entière par une demi-rente dès le 1er janvier 2003 et a sollicité le maintien de la rente entière, fondée sur un taux d’invalidité de 70%, au-delà de cette date.</w:t>
      </w:r>
    </w:p>
    <w:p>
      <w:r>
        <w:rPr>
          <w:b/>
        </w:rPr>
        <w:t>E. 8</w:t>
      </w:r>
    </w:p>
    <w:p>
      <w:r>
        <w:t>a) Il convient en l’occurrence de déterminer le droit aux prestations du recourant, singulièrement à une rente entière d'invalidité.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w:t>
      </w:r>
    </w:p>
    <w:p>
      <w:r>
        <w:t>A/1818/2007 - 12/17 -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t>A/1818/2007 - 13/17 - c) Selon l'art. 28 al. 1 LAI dans sa teneur en vigueur jusqu'au 31 décembre 2003, l'assuré a droit à une rente entière s'il est invalide à 66 2/3% au moins, à une demi- rente s'il est invalide à 50 % au moins, ou à un quart de rente s'il est invalide à 40%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Selon l’art. 29 al. 1er LAI dans sa teneur en vigueur du 1er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d)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A/1818/2007 - 14/17 -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w:t>
      </w:r>
    </w:p>
    <w:p>
      <w:r>
        <w:t>A/1818/2007 - 15/17 - selon lequel l'administration ou le juge devrait statuer, dans le doute, en faveur de l'assuré (ATF 126 V 322 consid. 5a).</w:t>
      </w:r>
    </w:p>
    <w:p>
      <w:r>
        <w:rPr>
          <w:b/>
        </w:rPr>
        <w:t>E. 9</w:t>
      </w:r>
    </w:p>
    <w:p>
      <w:r>
        <w:t>En l'occurrence se trouvent au dossier un rapport médical du Dr Q__________, médecin généraliste, du 12 novembre 1999, une expertise du COMAI, du Dr J. N__________ et du Dr P__________ rhumatologue du 8 octobre 2002, une expertise du Dr M__________, psychiatre, et de Madame E__________, psychologue FSP, du 27 août 2004, d’un résumé de séjour du 3 mars 2006 émanant des HUG et des rapports du Dr O__________, FMH psychiatrie et psychothérapie, des 6 septembre 2007 et 7 avril 2008. Il convient dès lors de déterminer la valeur probante, en particulier, des expertises du 8 octobre 2002 et 27 août 2004. Les experts du COMAI qui ont réalisé l’expertise pluridisciplinaire, ont posé des anamnèses détaillées; ils ont pris en compte les plaintes de l'expertisée, ont procédé à une consultation spécialisée de psychiatrie, le Dr L__________ ainsi que le Dr Q__________, médecin traitant et se sont livrés à une discussion et ont répondu de manière claire et circonstanciée aux questions qui lui étaient posées, notamment s'agissant des diagnostics et de la capacité de travail. Enfin, leurs conclusions sont motivées et dépourvues de contradiction. Partant, cette expertise répond à tous les réquisits pour lui voir attribuer pleine valeur probante. Par ailleurs, il convient de relever l’expertise du Dr M__________ et de Madame E__________ du 27 août 2004 n’a qu’une orientation psychiatrique et ne prend pas en compte les douleurs physiques du recourant notamment les insuffisances veineuses et l’apnée du sommeil. Au sujet de la gravité de l’état dépressif du recourant, il sied de relever que le Dr M__________ précise, lors de son audition du 2 avril 2009 "Au niveau des diagnostics mentionnés dans le rapport d’expertise, je précise que l’état dépressif majeur chronique de gravité légère est en réalité de gravité légère à moyenne." Cette importante précision met en doute la valeur probante du rapport d’expertise qui n’a d’ailleurs pas pris en compte les douleurs physiques du recourant. De plus, il y a lieu de considérer les conclusions du Dr O__________, psychiatre, qui reçoit depuis le mois de juillet 2004, en consultation le recourant, une fois chaque quinzaine, à savoir : "En l’état actuel, M. C__________ est en incapacité de travail à 100% et je pense que dans le futur, malgré les améliorations possibles, M. C__________ ne retrouvera plus une quelconque capacité de travail. L’amélioration envisagée ne se portera que sur la qualité de vie. En revanche, l’incapacité de travail devrait être définitive." Enfin, il convient également de considérer l’avis du Dr Q__________ qui soigne le recourant depuis une vingtaine d’année et qui relève : "Compte tenu de l’état de santé de M. C__________, l’incapacité de travail à 100% est pour moi une évidence. Je ne peux donc partager les conclusions de l’expertise effectuée par le</w:t>
      </w:r>
    </w:p>
    <w:p>
      <w:r>
        <w:t>A/1818/2007 - 16/17 - Dr M__________ car il faut prendre en compte l’ensemble des pathologies, en particulier les insuffisances veineuses. Les troubles somatoformes douloureux (fibromyalgie) ne sont qu’une pathologie parmi toutes les autres." Partant, les conclusions du rapport d’expertise du COMAI du 8 octobre 2002 ainsi que les déterminations des médecins traitants seront pris en considération, en tenant compte du fait que, contrairement à la réévaluation de l’OAI, l’état de santé du recourant ne s’est pas amélioré depuis le 1er janvier 2003 et qu’il a droit a une rente entière depuis cette date. Dans sa détermination du 4 juin 2009 l’OAI relève que l’aggravation étant postérieure à la décision sur opposition du 26 mars 2007, conformément à la jurisprudence fédérale, l’évaluation des répercussions sur la capacité ne concerne pas la présente procédure et devra être réalisée dans le cadre d’une procédure de révision qui aboutira à la notification d’une nouvelle décision administrative. Certes,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Toutefois, la jurisprudence fait mention d’une règle générale et précise que les faits postérieurs doivent normalement faire l’objet d’une nouvelle décision. En l’occurrence, il sied de relever que le résumé du 3 mars 2006 des HUG dont il est fait état dans l’avis médical du SMR du 14 août 2006, mentionne au niveau des diagnostics notamment le syndrome d’apnées du sommeil qui, selon le Dr Q__________, a été diagnostiqué de façon précise en 2006 qui n’a apparemment pas été pris en compte dans l’évaluation qui a abouti à la décision sur opposition du 26 mars 2007. En outre, il y a lieu de relever que le courrier du recourant du 3 mars 2006 a purement été écarté avec la précision de l’OAI qu’il n’était pas utile de déposer une nouvelle demande car, si une aggravation de l’état de santé du recourant était intervenue depuis la dernière décision, il va de soi qu’il en serait tenu compte. L’argument selon lequel l’aggravation de l’état de santé du recourant dont le caractère postérieur peut être mis en doute en raison en particulier par l’avis médical du SMR du 14 août 2006 qui était alors en possession des informations à ce sujet, cet argument ne sera pas pris en considération par le Tribunal de céans. Eu égard aux considérations qui précèdent, le recours doit donc être admis en ce sens que le recourant a droit à une rente entière dès le 1er janvier 2003. La décision sur opposition du 3 mars 2007 doit donc être annulée. Le recourant obtenant gain de cause, une indemnité de 2’000 fr. lui sera accordée à titre de participation à ses frais et dépens (art. 61 let. g LPGA).</w:t>
      </w:r>
    </w:p>
    <w:p>
      <w:r>
        <w:t>A/1818/2007 - 17/17 -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