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ATAS/989/2020 vom 22. Oktober 2020</w:t>
      </w:r>
    </w:p>
    <w:p>
      <w:r>
        <w:t>GE Cour de justice, 2020-10-22, FR</w:t>
      </w:r>
    </w:p>
    <w:p>
      <w:r>
        <w:rPr>
          <w:b/>
        </w:rPr>
        <w:t xml:space="preserve">Quelle: </w:t>
      </w:r>
      <w:r>
        <w:t>https://mcp.opencaselaw.ch/entscheid/ge_gerichte_ATAS_989_2020</w:t>
      </w:r>
    </w:p>
    <w:p>
      <w:r>
        <w:t>FR: GE_GERICHTE ATAS/989/2020 du 22 octobre 2020</w:t>
      </w:r>
    </w:p>
    <w:p>
      <w:r>
        <w:t>IT: GE_GERICHTE ATAS/989/2020 del 22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A/370/2019 - 14/23 -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 (art. 56ss LPGA et 62ss LPA).</w:t>
      </w:r>
    </w:p>
    <w:p>
      <w:r>
        <w:rPr>
          <w:b/>
        </w:rPr>
        <w:t>E. 4</w:t>
      </w:r>
    </w:p>
    <w:p>
      <w:r>
        <w:t>Le litige porte sur le bien-fondé du rejet de la nouvelle demande de prestations du recourant, singulièrement sur la question de savoir si une aggravation de son état de santé est survenue entre le 25 février 2010 – date de la dernière décision reposant sur un examen matériel du droit à la rente – et le 11 décembre 2018, date de la décision litigieuse.</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b. Lorsque l’administration entre en matière sur une nouvelle demande,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 consid. 3).</w:t>
      </w:r>
    </w:p>
    <w:p>
      <w:r>
        <w:t>A/370/2019 - 15/23 -</w:t>
      </w:r>
    </w:p>
    <w:p>
      <w:r>
        <w:rPr>
          <w:b/>
        </w:rPr>
        <w:t>E. 6</w:t>
      </w:r>
    </w:p>
    <w:p>
      <w:r>
        <w:t>a.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A/370/2019 - 16/23 -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a.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w:t>
      </w:r>
    </w:p>
    <w:p>
      <w:r>
        <w:t>A/370/2019 - 17/23 -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 Dans un arrêt 9C_492/2014 du 3 juin 2015, publié aux ATF 141 V 281, le Tribunal fédéral a abandonné la présomption qui prévalait jusqu’alors,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les troubles dépressifs de degré léger ou moyen (ATF 143 V 409 consid. 4.5.1). En effet, celles-ci ne peuvent en principe être déterminées ou prouvées sur la base de critères objectifs que de manière limitée.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w:t>
      </w:r>
    </w:p>
    <w:p>
      <w:r>
        <w:t>A/370/2019 - 18/23 - démonstratives laissent insensible l’expert, ainsi que l’allégation de lourds handicaps malgré un environnement psychosocial intact (ATF 131 V 49 consid. 1.2).</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w:t>
      </w:r>
    </w:p>
    <w:p>
      <w:r>
        <w:t>A/370/2019 - 19/23 -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w:t>
      </w:r>
    </w:p>
    <w:p>
      <w:r>
        <w:t>A/370/2019 - 20/23 - 240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w:t>
      </w:r>
    </w:p>
    <w:p>
      <w:r>
        <w:t>En l’espèce, il convient de comparer la situation telle qu’elle se présentait lors de la décision du 25 février 2010 avec celle existant le 11 décembre 2018 pour apprécier le bien-fondé d’une éventuelle révision en application de l’art. 17 LPGA. La décision du 25 février 2010 se fondait sur l’avis émis le 27 mars 2008 par le SMR, lequel faisait siennes les conclusions rendues le 29 février 2008 par la Dresse E______ : les atteintes incapacitantes consistaient en cervicalgies droites (hernie discale C3-C4 non compressive) en un status post-fracture C2 en 1992, sans séquelle neurologique (M50.2), en lombosciatalgies chroniques non déficitaires dans le cadre d’un trouble statique et dégénératif avec insuffisance posturale (M51.3) et en un status post-neurolyse du nerf cubital du coude et du nerf médian au poignet gauche en 2005, avec trouble sensitif et faiblesse résiduelle. La capacité de travail était nulle, depuis 2000, dans l’activité habituelle de maçon ; dans une activité adaptée, elle était passée de 80% à 75% suite à une péjoration survenue courant 2006, avec mise en évidence d’une hernie discale C3-C4 non compressive en 2007. Pour être adaptée, une telle activité devait n’impliquer ni position statique prolongée assise, debout, en rotation-flexion du tronc, en porte-à- faux, en extension et rotation extrême, ni mouvements répétitifs de la tête. De l’expertise rhumato-psychiatrique des Drs S______ et T______, il ressort en substance qu’en l’absence de diagnostics psychiatriques autres que l’utilisation d’alcool nocive pour la santé et un trouble anxieux et dépressif mixte (F41.2) secondaire à la douleur (tous deux sans effet sur la capacité de travail), la situation reste inchangée par rapport à l’expertise pluridisciplinaire du 19 juillet 2012 du CHUV et au complément du 13 novembre 2013 du Prof. G______, de sorte qu’il n’y a pas d’élément objectif permettant de justifier une augmentation de l’incapacité de travail. Il ressort plus particulièrement du rapport du Dr T______ que s’il existe, d’un point de vue objectif, un syndrome cervicobrachial et lombovertébral, sans signe radiculaire irritatif ou déficitaire, des gonalgies sans signe de conflit rotulien, ligamentaire ou tendineux et une mobilité des chevilles dans la norme, l’examen n’en frappe pas moins par la présence de plusieurs signes de non-organicité selon Waddell qui ne sont pas expliqués par le socle somatique sous-jacent. C’est la raison pour laquelle l’expert a estimé que la diminution des</w:t>
      </w:r>
    </w:p>
    <w:p>
      <w:r>
        <w:t>A/370/2019 - 21/23 - capacités fonctionnelles dues à la santé résidait essentiellement dans le vécu douloureux devenu chronique, surtout aux niveaux du rachis, du genou droit et de l’impotence fonctionnelle décrite dans les activités quotidiennes. L’indicateur de cohérence « limitation uniforme du niveau des activités dans tous les domaines comparables de la vie » (ATF 141 V 281 consid. 4.4.1) permet de considérer que les limitations du recourant se manifestent peu ou prou de la même manière dans la profession et les actes habituels de la vie puisqu’il évalue leurs répercussions à 25% sur le plan professionnel (comme maçon-paysagiste) et à 20% dans les activités ménagères, les loisirs et les activités sociales. Pour sa part, le Dr S______ a reçu le recourant avant l’expert rhumatologue et rendu ses conclusions avant ce dernier ; il n’intègre donc pas les observations cliniques du Dr T______ (soit le fait que les douleurs physiques ne s’expliquent pas suffisamment d’un point de vue organique ; ATF 141 V 281 consid. 4.3.1.3) à son appréciation diagnostique et, par voie de conséquence, ne permet pas de vérifier pour quels motifs le degré de gravité inhérent au diagnostic de trouble somatoforme douloureux (« douleur persistante, intense, s’accompagnant d’un sentiment de détresse » ; cf. ATF 141 V 281 consid. 2.1.1) ne serait pas donné. Pour écarter le diagnostic de trouble somatoforme, l’expert se contente d’indiquer qu’« il manque le critère clinique principal qui est le sentiment de détresse » ; rapport d’expertise du Dr S______, p. 23). Par ailleurs et surtout, l’expert S______ établit une anamnèse qui ne tient pas compte de tous les documents psychiatriques – pourtant peu nombreux – versés au dossier, à savoir le rapport du 12 juin 2014 de la Dresse K______, qui mentionne un score de 31 à l’échelle de Hamilton (sur la base d’un test effectué le 6 mai 2014) et diagnostique un épisode dépressif sévère sans symptôme psychotique (F32.2), ainsi qu’une anxiété généralisée (F41.1). On cherche également en vain une mention et/ou une détermination, de la part de l’expert S______, du rapport du 15 octobre 2015 dans lequel la Dresse K______ s’inscrivait en faux contre l’avis émis le 19 août 2014 par le SMR et défendait le diagnostic de syndrome douloureux posé par l’expert L______, du fait de plaintes disproportionnées à leur substrat organique. On ne trouve pas non plus de prise de position de l’expert au sujet des « autres troubles somatoformes » (F45.8) du « trouble somatoforme indifférencié » (F45.1) évoqués le 19 août 2014 par le SMR. Compte tenu des observations qui précèdent, l’expertise du Dr S______, très lacunaire et insuffisamment motivée, ne peut se voir reconnaître pleine valeur probante. Elle est impropre à établir, au degré de la vraisemblance prépondérante, quelle a été l’évolution de l’état de santé psychique du recourant depuis la décision du 25 février 2010, de sorte que les instructions données à l’intimé par le Tribunal fédéral dans son arrêt 9C_286/2016 du 9 février 2017 restent d’actualité, à tout le moins d’un point de vue psychiatrique.</w:t>
      </w:r>
    </w:p>
    <w:p>
      <w:r>
        <w:t>A/370/2019 - 22/23 - En revanche, la Cour de céans considère que le volet rhumatologique de l’expertise bidisciplinaire réalisé par le Dr T______ peut se voir reconnaître valeur probante : il a été rendu sur la base d’une documentation complète, d’une anamnèse comportant un volet familial, personnel, professionnel et médical. Ce document relate les plaintes du recourant, comporte un status médical approfondi et prend position au sujet des rapports versés au dossier par le Dr P______ le 8 septembre 2017. En outre, il pose des diagnostics précis, ses constatations sont claires et ses conclusions suffisamment bien motivées, en particulier quant au caractère inchangé de la situation par rapport à l’expertise pluridisciplinaire du 19 juillet 2012 du CHUV et au complément du 13 novembre 2013 du Prof. G______ – étant souligné que ce professeur y notait déjà une absence d’aggravation des plaintes et de l’état clinique par rapport aux expertises des Dresses B______ et C______ de 2004 (cf. dossier AI, doc. 160, p. 772). Il est dès lors établi au degré de la vraisemblance prépondérante que, d’un point de vue somatique, en particulier rhumatologique, il n’y a pas eu de modification sensible de l’état de santé du recourant depuis la décision du 25 février 2010.</w:t>
      </w:r>
    </w:p>
    <w:p>
      <w:r>
        <w:rPr>
          <w:b/>
        </w:rPr>
        <w:t>E. 12</w:t>
      </w:r>
    </w:p>
    <w:p>
      <w:r>
        <w:t>Dès lors que les questions posées par l’intimé au Dr S______, telles qu’elles ressortent de la communication du 1er février 2018 (cf. dossier AI, doc. 228, p. 1150) ne répondent pas à la principale injonction du Tribunal fédéral – à savoir analyser l’évolution de l’état de santé du recourant pour la période postérieure à février 2010 – et que cet expert s’est borné pour l’essentiel à se référer à son entretien du 17 avril 2018 avec le recourant pour en déduire, au terme d’une analyse tronquée du dossier (cf. ci-dessus : consid. 11), qu’il n’y avait pas d’atteinte psychiatrique « depuis au moins 2010 », le recours est partiellement admis, la décision du 11 décembre 2018 annulée et la cause renvoyée à l’intimé pour qu’il mette en œuvre une expertise psychiatrique auprès d’un expert indépendant (autre que les docteurs S______ et U______). Il conviendra qu’il communique préalablement à l’assuré le nom de l’expert envisagé, ainsi que la liste des questions qui lui seront soumises.</w:t>
      </w:r>
    </w:p>
    <w:p>
      <w:r>
        <w:rPr>
          <w:b/>
        </w:rPr>
        <w:t>E. 13</w:t>
      </w:r>
    </w:p>
    <w:p>
      <w:r>
        <w:t>Le recourant obtenant partiellement gain de cause, une indemnité de CHF 2’850.- lui est accordée à titre de participation à ses frais et dépens (art. 61 let. g LPGA ; art. 6 du règlement sur les frais, émoluments et indemnités en matière administrative du 30 juillet 1986 [RFPA – E 5 10.03]). Un émolument de CHF 200.- est mis à la charge de l’intimé (art. 69 al. 1bis LAI).</w:t>
      </w:r>
    </w:p>
    <w:p>
      <w:r>
        <w:t>*****</w:t>
      </w:r>
    </w:p>
    <w:p>
      <w:r>
        <w:t>A/370/2019 - 23/23 -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