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ATAS/989/2019 vom 28. Oktober 2019</w:t>
      </w:r>
    </w:p>
    <w:p>
      <w:r>
        <w:t>GE Cour de justice, 2019-10-28, FR</w:t>
      </w:r>
    </w:p>
    <w:p>
      <w:r>
        <w:rPr>
          <w:b/>
        </w:rPr>
        <w:t xml:space="preserve">Quelle: </w:t>
      </w:r>
      <w:r>
        <w:t>https://mcp.opencaselaw.ch/entscheid/ge_gerichte_ATAS_989_2019</w:t>
      </w:r>
    </w:p>
    <w:p>
      <w:r>
        <w:t>FR: GE_GERICHTE ATAS/989/2019 du 28 octobre 2019</w:t>
      </w:r>
    </w:p>
    <w:p>
      <w:r>
        <w:t>IT: GE_GERICHTE ATAS/989/2019 del 28 ottobre 2019</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t>A/4047/2018 - 7/14 -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de la recourante à une rente d’invalidité, singulièrement sur son statut.</w:t>
      </w:r>
    </w:p>
    <w:p>
      <w:r>
        <w:rPr>
          <w:b/>
        </w:rPr>
        <w:t>E. 4.2</w:t>
      </w:r>
    </w:p>
    <w:p>
      <w:r>
        <w:t>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 arrêt du Tribunal fédéral I 257/04 du 17 mars 2005).</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w:t>
      </w:r>
    </w:p>
    <w:p>
      <w:r>
        <w:t>A/4047/2018 - 8/14 - V 193 consid. 2). Aussi n’existe-t-il pas, en droit des assurances sociales, un principe selon lequel l’administration ou le juge devrait statuer, dans le doute, en faveur de l’assuré (ATF 126 V 319 consid. 5a).</w:t>
      </w:r>
    </w:p>
    <w:p>
      <w:r>
        <w:rPr>
          <w:b/>
        </w:rPr>
        <w:t>E. 8</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du règlement sur l’assurance-invalidité du 17 janvier 1961 [RAI - RS 831.201]).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w:t>
      </w:r>
    </w:p>
    <w:p>
      <w:r>
        <w:rPr>
          <w:b/>
        </w:rPr>
        <w:t>E. 9</w:t>
      </w:r>
    </w:p>
    <w:p>
      <w:r>
        <w:t>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à la circulaire concernant</w:t>
      </w:r>
    </w:p>
    <w:p>
      <w:r>
        <w:t>A/4047/2018 - 9/14 - l'invalidité et l'impotence de l'assurance-invalidité. Aux conditions posées par la jurisprudence (ATF 128 V 93) une telle enquête a valeur probante. b.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dans VSI 2003 p. 221; arrêt du Tribunal fédéral 9C_625/2017 du 26 mars 2018 consid. 6.2 et arrêt du Tribunal fédéral des assurances I 733/06 du 16 juillet 2007). c.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(cf. ATF 138 I 205 consid. 3.2). Dans le cas d'une personne rencontrant des difficultés à accomplir ses travaux ménagers à cause de son handicap, le principe évoqué se concrétise notamment par l'obligation de solliciter l'aide des membres de la famille.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w:t>
      </w:r>
    </w:p>
    <w:p>
      <w:r>
        <w:t>A/4047/2018 - 10/14 - exécuter en remplacement la fonction partielle correspondante (ATF 133 V 504 consid. 4.2; arrêt du Tribunal fédéral 9C_785/2014). d.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 Toutefois,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e. Pour satisfaire à l'obligation de réduire le dommage (voir ATF 129 V 463 consid.</w:t>
      </w:r>
    </w:p>
    <w:p>
      <w:r>
        <w:rPr>
          <w:b/>
        </w:rPr>
        <w:t>E. 10</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A/4047/2018 - 11/14 -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11</w:t>
      </w:r>
    </w:p>
    <w:p>
      <w:r>
        <w:t>a. En l’occurrence, l’intimé a considéré que le statut de la recourante était celui de ménagère, dès lors que le dernier emploi exercé était une activité au Pérou en 1996 ; il s’est ensuite fondé sur l’enquête économique sur le ménage, du 14 septembre 2018, concluant à un empêchement dans le ménage, pondéré avec exigibilité, à un taux de 18,75 % pour refuser à la recourante tout droit à une rente d’invalidité. La recourante, d’une part, conteste le statut retenu par l’intimé, en faisant valoir qu’elle aurait retravaillé lorsque ses enfants ont atteint l’âge de 6 - 7 ans si sa santé le lui avait permis et qu’elle avait d’ailleurs mis des annonces à la Migros en se proposant pour effectuer des travaux de dactylographie, sans succès ; d’autre part, elle allègue que l’OAI aurait sous-estimé son atteinte psychique et aurait manqué à son devoir d’instruction, dès lors que s’il considérait que le rapport médical de son médecin traitant du 20 février 2018 était dénué de force probante, il aurait dû l’inviter à en produite un autre, davantage probant. b. S’agissant du statut de la recourante, la chambre de céans considère qu’il ne saurait être celui d’une personne active, en particulier au vu des arguments soulevés par celle-ci. En effet, la recourante, dès son arrivée en Suisse, n’a jamais travaillé, même antérieurement à l’atteinte à sa santé, alléguée depuis 2002 et à sa première grossesse ; l’unique démarche consistant à mettre quelques annonces à la Migros pour des travaux de dactylographie à domicile, ne saurait par ailleurs être considérée comme suffisante pour établir la volonté de la recourante de retravailler ; enfin, les atteintes alléguées dès l’année 2002 et rapportées par le Dr C______ (rapport du 20 février 2018), soit de l’asthénie, des douleurs musculo- tendineuses, des troubles de l’exonération des selles et une dyspareunie n’ont pas été évalués au regard d’une capacité de travail de la recourante, de sorte qu’il n’est pas établi non plus que la recourante, comme elle le prétend, aurait été totalement empêchée de débuter une activité professionnelle lorsque ses enfants ont atteint l’âge de 6 - 7 ans (soit en 2008 - 2009). Dans ces conditions, il convient de confirmer le statut de ménagère de la recourante.</w:t>
      </w:r>
    </w:p>
    <w:p>
      <w:r>
        <w:t>A/4047/2018 - 12/14 - S’agissant des répercussions de l’atteinte à la santé sur les empêchements ménagers, contrairement à l’avis de la recourante, l’enquête économique sur le ménage du 14 septembre 2018 tient compte, comme mentionné sous « atteinte à la santé », de l’épisode dépressif sévère subi par la recourante. Par ailleurs, les postes évalués par l’enquêtrice n’ont pas fait l’objet d’une contestation par la recourante. Les empêchements retenus sont d’ailleurs importants (40 % pour l’alimentation, 60 % pour l’entretien du logement, 70 % pour les achats et courses diverses, 40 % pour la lessive et l’entretien des vêtements, 50 % pour les soins et assistance aux enfants), de sorte que l’empêchement total pondéré sans exigibilité est de 47 %. C’est toutefois en raison de l’exigibilité des membres de la famille, au taux de 28,5 %, que l’empêchement total de la recourante est réduit à 18,75 %. Dans la note de travail du 5 mars 2019, l’enquêtrice a, à cet égard, précisé que l’exigibilité retenue était la suivante : Alimentation 25 % (10 % époux et 5 % chaque enfant) Entretien du logement 30 % (15 % époux et 5 % chaque enfant) Achats et courses diverses 70 % (70 % époux) Lessive et entretien des vêtements 30 % (10 % époux, 5 % fille et 5 % garçons) L’enquêtrice a précisé que l’aide de l’IMAD ne modifiait pas les empêchements, en raison de l’exigibilité des membres de la famille. Cette évaluation, qui n’est pas spécifiquement contestée par la recourante, n’est pas critiquable et, en l’absence d’élément permettant de la mettre en doute, doit être confirmée. c. La recourante se prévaut du rapport médical de la Dresse F______ du 24 janvier 2019, attestant d’une péjoration de son état psychique depuis le dernier rapport du 9 octobre 2018, en partie lié au rejet de la demande AI, avec l’apparition d’un trouble de la personnalité mixte (histrionique et émotionnellement labile), péjoré depuis le refus de l’AI, de sorte qu’elle était incapable d’envisager une quelconque activité structurée. Ce rapport médical fait effectivement état d’une péjoration de l’état de santé de la recourante qui pourrait avoir des répercussions sur sa capacité à assumer les tâches ménagères et augmenter en conséquence le taux des empêchements ménagers. Toutefois, dès lors que la psychiatre traitante a constaté une aggravation postérieure à la décision de refus de l’OAI du 23 octobre 2018, cette aggravation sort de l’objet du présent litige.</w:t>
      </w:r>
    </w:p>
    <w:p>
      <w:r>
        <w:t>A/4047/2018 - 13/14 - En effet, de jurisprudence constante, le juge apprécie en règle générale la légalité des décisions entreprises d'après l'état de fait existant au moment où la décision litigieuse a été rendue (ATF 144 V 210 consid. 4.3.1; ATF 132 V 215 consid. 3.1.1). Il incombera à la recourante, si elle estime que ses empêchements ménagers ont augmenté suite à la péjoration de son état de santé psychique, de déposer une nouvelle demande de prestations (révision) auprès de l’intimé. Enfin, contrairement à l’avis de la recourante, l’intimé ne s’est pas contenté du rapport médical du Dr C______ du 20 février 2018, mais a requis des renseignements tant auprès de la psychiatre traitante, la Dresse F______ (rapport médical AI du 27 mars 2018) dont les diagnostics et limitations fonctionnelles posés par celle-ci ont été retenus par le SMR (avis du SMR du 4 juillet 2018) qu’auprès de la rhumatologue traitante, la Dresse D______ (rapport du 23 février 2018). Un défaut d’instruction ne saurait, dans ces conditions, être reproché à l’OAI.</w:t>
      </w:r>
    </w:p>
    <w:p>
      <w:r>
        <w:rPr>
          <w:b/>
        </w:rPr>
        <w:t>E. 12</w:t>
      </w:r>
    </w:p>
    <w:p>
      <w:r>
        <w:t>Le recours ne peut qu’être rejeté. Etant donné que depuis le 1er juillet 2006, la procédure n'est plus gratuite (art. 69 al. 1bis LAI), il y a lieu de condamner la recourante au paiement d'un émolument de CHF 200.-.</w:t>
      </w:r>
    </w:p>
    <w:p>
      <w:r>
        <w:t>A/4047/2018 - 14/14 -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