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ATAS/989/2018 vom 25. Oktober 2018</w:t>
      </w:r>
    </w:p>
    <w:p>
      <w:r>
        <w:t>GE Cour de justice, 2018-10-25, FR</w:t>
      </w:r>
    </w:p>
    <w:p>
      <w:r>
        <w:rPr>
          <w:b/>
        </w:rPr>
        <w:t xml:space="preserve">Quelle: </w:t>
      </w:r>
      <w:r>
        <w:t>https://mcp.opencaselaw.ch/entscheid/ge_gerichte_ATAS_989_2018</w:t>
      </w:r>
    </w:p>
    <w:p>
      <w:r>
        <w:t>FR: GE_GERICHTE ATAS/989/2018 du 25 octobre 2018</w:t>
      </w:r>
    </w:p>
    <w:p>
      <w:r>
        <w:t>IT: GE_GERICHTE ATAS/989/2018 del 25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t>A/635/2017 - 7/13 -</w:t>
      </w:r>
    </w:p>
    <w:p>
      <w:r>
        <w:rPr>
          <w:b/>
        </w:rPr>
        <w:t>E. 4</w:t>
      </w:r>
    </w:p>
    <w:p>
      <w:r>
        <w:t>Le litige porte sur le droit du recourant aux prestations de l’assurance-invalidité au- delà de la période pour laquelle il a obtenu gain de cause, en particulier sur son degré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t>A/635/2017 - 8/13 -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7</w:t>
      </w:r>
    </w:p>
    <w:p>
      <w:r>
        <w:t>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A/635/2017 - 9/13 -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A/635/2017 - 10/13 -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9</w:t>
      </w:r>
    </w:p>
    <w:p>
      <w:r>
        <w:t>En l’espèce, le recourant nie toute valeur probante à l’expertise de la Clinique Corela, sur laquelle l’intimé s’est fondé pour statuer sur son cas. Dans son arrêt 2C_32/2017 cité supra,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w:t>
      </w:r>
    </w:p>
    <w:p>
      <w:r>
        <w:t>A/635/2017 - 11/13 -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récent (9F_5/2018 du 16 août 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 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En l'occurrence, l'expertise rendue le 15 juin 2016 au sein de la Clinique Corela, sur laquelle se sont fondés tant l’OAI que la Cour de céans a été réalisée à une époque où le responsable médical du "département expertise" modifiait illicitement le contenu de rapports. En conséquence, cette expertise ne peut servir de fondement pour statuer sur le droit du demandeur aux prestations de l'assurance-invalidité.</w:t>
      </w:r>
    </w:p>
    <w:p>
      <w:r>
        <w:t>A/635/2017 - 12/13 - Peu importe de savoir si ledit responsable est concrètement intervenu dans la rédaction du rapport d’expertise, voire en a modifié le contenu à l'insu de son auteur, parce qu'il n'est en tout état de cause pas possible d'accorder pleine confiance au rapport du 15 juin 2016, établi sous l'enseigne de la Clinique Corela (cf. arrêt 9F_5/2018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quoi qu’en dise l’intimé, aucune valeur probante ne peut être reconnue à l’expertise sur laquelle il s’est fondé pour statuer. Au vu des circonstances, l'expertise ne saurait servir de fondement pour le refus de prestations. Il s'impose dès lors d'annuler la décision litigieuse et de renvoyer la cause à l’OAI pour mise en œuvre d’une nouvelle expertise pluridisciplinaire et nouvelle décision. En effet, en l’état, le dossier ne contient aucun autre document médical suffisamment étayé pour permettre de se déterminer sur les atteintes de l’assuré et leur impact sur sa capacité de travail.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 Aubert parue in SJ 1993 p. 560). Tel n’est pas le cas en l’occurrence. On relèvera d’ailleurs à cet égard que le Tribunal fédéral, dans son arrêt du 6 août 2018 mentionné supra, a renvoyé la cause pour instruction complémentaire à l’autorité administrative et non au tribunal cantonal. Dans la mesure où l’instruction doit être reprise quasiment intégralement, on ne saurait en effet priver l’assuré d’un degré de juridiction. Quant aux supposées préventions de l’intimé à son encontre, elles n’ont pas lieu d’être puisque ce sont d’autres experts, et non l’intimé, qui seront appelés à examiner la situation à nouveau. Eu égard aux considérations qui précèdent, le recours est partiellement admis et la cause renvoyée à l’intimé pour instruction complémentaire et nouvelle décision.</w:t>
      </w:r>
    </w:p>
    <w:p>
      <w:r>
        <w:t>A/635/2017 - 13/13 -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