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ATAS/989/2008 vom 8. September 2008</w:t>
      </w:r>
    </w:p>
    <w:p>
      <w:r>
        <w:t>GE Cour de justice, 2008-09-08, FR</w:t>
      </w:r>
    </w:p>
    <w:p>
      <w:r>
        <w:rPr>
          <w:b/>
        </w:rPr>
        <w:t xml:space="preserve">Quelle: </w:t>
      </w:r>
      <w:r>
        <w:t>https://mcp.opencaselaw.ch/entscheid/ge_gerichte_ATAS_989_2008</w:t>
      </w:r>
    </w:p>
    <w:p>
      <w:r>
        <w:t>FR: GE_GERICHTE ATAS/989/2008 du 8 septembre 2008</w:t>
      </w:r>
    </w:p>
    <w:p>
      <w:r>
        <w:t>IT: GE_GERICHTE ATAS/989/2008 del 8 settembre 2008</w:t>
      </w:r>
    </w:p>
    <w:p>
      <w:pPr>
        <w:pStyle w:val="Heading2"/>
      </w:pPr>
      <w:r>
        <w:t>Erwägungen</w:t>
      </w:r>
    </w:p>
    <w:p>
      <w:r>
        <w:rPr>
          <w:b/>
        </w:rPr>
        <w:t>E. 1</w:t>
      </w:r>
    </w:p>
    <w:p>
      <w:r>
        <w:t>Par ordonnance du 21 février 2008, le Tribunal de céans a déclaré le recours recevable et la loi fédérale sur la partie générale du droit des assurances sociales du</w:t>
      </w:r>
    </w:p>
    <w:p>
      <w:r>
        <w:rPr>
          <w:b/>
        </w:rPr>
        <w:t>E. 6</w:t>
      </w:r>
    </w:p>
    <w:p>
      <w:r>
        <w:t>En matière d'assurance-invalidité, la longue période d'inactivité, l'âge ou l'absence de motivation ne constituent pas des atteintes à la santé à prendre en considération pour évaluer l'incapacité de travail ou de gain d'un assuré. Le fait que la personne concernée se considère comme invalide ne constitue pas davantage un critère. Il convient bien plutôt de se demander si, en raison d'atteintes à la santé, l'assuré ne dispose plus des ressources physiques et psychiques nécessaires à la reprise d'une activité professionnelle (ATFA du 5 décembre 2005 I 685/04). S'il apparaît que des facteurs psychosociaux ou socioculturels peuvent avoir une influence sur la capacité de travail, il n'en demeure pas moins que seule l'existence d'une atteinte à la santé psychique équivalant à une maladie revêt une importance décisive lors de l'évaluation médicale de cette capacité (ATF 127 V 294 consid. 5a p. 299 s.).</w:t>
      </w:r>
    </w:p>
    <w:p>
      <w:r>
        <w:rPr>
          <w:b/>
        </w:rPr>
        <w:t>E. 7</w:t>
      </w:r>
    </w:p>
    <w:p>
      <w:r>
        <w:t>a) Selon l'art. 28 al. 2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99 V 48).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w:t>
      </w:r>
    </w:p>
    <w:p>
      <w:r>
        <w:t>A/3441/2007 - 20/26 - préférences de l'intéressé quant au choix du genre de reclassement doivent être prises en considération, elles ne sauraient jouer un rôle déterminant (arrêt I 397/87 du 15 janvier 1988, consid. 1 et la référence, publié in RCC 1988 p. 265; ATFA du 13 juin 2007; cause I 552/2006). En outre, le seuil minimum fixé par la jurisprudence pour ouvrir droit à une mesure de reclassement est une diminution de la capacité de gain de 20 % environ (ATF 124 V 110). b)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I 605/04 du 11 janvier 2005, consid. 2 et les références, publié in SVR 2005 IV n° 30 p. 113; voir également les arrêts I 265/05 du 3 octobre 2005, consid. 4, et I 485/04 du 16 décembre 2004, consid. 6.1; ATFA du 13 juin 2007, I 552/06).</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A/3441/2007 - 21/26 -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A/3441/2007 - 22/26 -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a) En l'espèce, le rapport d'expertise judiciaire effectuée par la Dresse B__________ du 3 avril 2008, complété le 10 juillet 2008, répond à tous les critères jurisprudentiels précités pour qu'il lui soit reconnu une pleine valeur probante. En effet, ce rapport, complet et détaillé, se fonde sur tout le dossier médical, des examens radiologiques supplémentaires récents et l'examen de la recourante les 3 et</w:t>
      </w:r>
    </w:p>
    <w:p>
      <w:r>
        <w:rPr>
          <w:b/>
        </w:rPr>
        <w:t>E. 10</w:t>
      </w:r>
    </w:p>
    <w:p>
      <w:r>
        <w:t>En conséquence, le recours sera partiellement admis, la décision litigieuse annulée et la cause renvoyée à l'intimé afin qu'il rende une nouvelle décision dans le sens des considérants.</w:t>
      </w:r>
    </w:p>
    <w:p>
      <w:r>
        <w:rPr>
          <w:b/>
        </w:rPr>
        <w:t>E. 11</w:t>
      </w:r>
    </w:p>
    <w:p>
      <w:r>
        <w:t>Le recours étant partiellement admis, une indemnité de 1'500 fr. sera allouée à la recourante, à charge de l'intimé.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w:t>
      </w:r>
    </w:p>
    <w:p>
      <w:r>
        <w:t>A/3441/2007 - 25/26 -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500 fr. sera mis à la charge de l'intimée.</w:t>
      </w:r>
    </w:p>
    <w:p>
      <w:r>
        <w:t>A/3441/2007 - 26/26 -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