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ATAS/988/2010 vom 30. September 2010</w:t>
      </w:r>
    </w:p>
    <w:p>
      <w:r>
        <w:t>GE Cour de justice, 2010-09-30, FR</w:t>
      </w:r>
    </w:p>
    <w:p>
      <w:r>
        <w:rPr>
          <w:b/>
        </w:rPr>
        <w:t xml:space="preserve">Quelle: </w:t>
      </w:r>
      <w:r>
        <w:t>https://mcp.opencaselaw.ch/entscheid/ge_gerichte_ATAS_988_2010</w:t>
      </w:r>
    </w:p>
    <w:p>
      <w:r>
        <w:t>FR: GE_GERICHTE ATAS/988/2010 du 30 septembre 2010</w:t>
      </w:r>
    </w:p>
    <w:p>
      <w:r>
        <w:t>IT: GE_GERICHTE ATAS/988/2010 del 30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w:t>
      </w:r>
    </w:p>
    <w:p>
      <w:r>
        <w:t>A/256/2010 - 7/15 -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la forme prévue par la loi (art. 56 ss LPGA), le recours a été déposé au bureau de poste le 22 janvier 2010, soit dans le délai de 30 jours prévu à l'art. 60 LPGA, compte tenu de la suspension des délais du 18 décembre au 2 janvier en vertu de l'art. 38 al. 4 LPGA. Le recours est donc recevable.</w:t>
      </w:r>
    </w:p>
    <w:p>
      <w:r>
        <w:rPr>
          <w:b/>
        </w:rPr>
        <w:t>E. 4</w:t>
      </w:r>
    </w:p>
    <w:p>
      <w:r>
        <w:t>Le litige porte sur le maintien du droit du recourant au versement d’une demi-rente d’invalidité.</w:t>
      </w:r>
    </w:p>
    <w:p>
      <w:r>
        <w:rPr>
          <w:b/>
        </w:rPr>
        <w:t>E. 5</w:t>
      </w:r>
    </w:p>
    <w:p>
      <w:r>
        <w:t>En vertu de l'art. 28 al. 1er LAI, l'assuré a droit à une rente entière s'il est invalide à 70 % au moins, à trois quarts de rente s'il est invalide à 60 % au moins, à une demi- rente s'il est invalide à 50 % au moins, ou à un quart de rente s'il est invalide à 40 % au moins. Dans sa teneur en vigueur jusqu'au 31 décembre 2003, l'art. 28 al. 1 aLAI prévoyait que l'assuré avait droit à un quart de rente s'il est invalide à 40 % au moins, à une demi-rente si son taux d'invalidité état de 50 % ou plus et à une rente entière si celui-était est supérieur à 66 2/3 %.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t>A/256/2010 - 8/15 -</w:t>
      </w:r>
    </w:p>
    <w:p>
      <w:r>
        <w:rPr>
          <w:b/>
        </w:rPr>
        <w:t>E. 6</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du 9 octobre 2007, I 881/06, consid. 5.4; ATF 126 V 75 consid. 3b/aa).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A/256/2010 - 9/15 - inférieure aux normes de salaire usuelles. On peut également songer à la situation dans laquelle le poste de travail de l'assuré avant la survenance de l'atteinte à la santé n'existe plus au moment déterminant de l'évaluation de l'invalidité (ATF du 24 avril 2006, I 168/05, consid. 3.3; ATF du 17 octobre 2003, B 80/01, consid. 5.2.2). d)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du 20 novembre 2009, 9C_142/2009, consid. 4.1; ATF du 24 août 2007, 9C_237/2007, consid. 5.1; RAMA 2000 n° U 405, consid. 3b). Ces considérations conservent toute leur pertinence lors du recours aux valeurs statistiques pour la détermination du revenu sans invalidité.</w:t>
      </w:r>
    </w:p>
    <w:p>
      <w:r>
        <w:rPr>
          <w:b/>
        </w:rPr>
        <w:t>E. 7</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rPr>
          <w:b/>
        </w:rPr>
        <w:t>E. 8</w:t>
      </w:r>
    </w:p>
    <w:p>
      <w:r>
        <w:t>Au sujet de la révision du droit à la rente, le Tribunal de céans rappelle ce qui suit.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w:t>
      </w:r>
    </w:p>
    <w:p>
      <w:r>
        <w:t>A/256/2010 - 10/15 - 2003,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9</w:t>
      </w:r>
    </w:p>
    <w:p>
      <w:r>
        <w:t>La reconsidération d'une décision est possible aux conditions suivantes.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du 27 mars 2006, I 302/04, consid. 4.5). Une décision est sans nul doute erronée non seulement si elle a été rendue sur la base de normes fausses ou non pertinentes, mais encore lorsque les dispositions pertinentes n'ont pas été appliquées ou qu'elles l'ont été de manière erronée (ATF du 30 avril 2008, 9C_187/2007,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du 3 mai 2006, I 512/05, consid. 3). En particulier, les organes d'application ne sauraient procéder en tout temps à une nouvelle appréciation de la situation après un examen plus approfondi des faits. Ainsi, une inexactitude</w:t>
      </w:r>
    </w:p>
    <w:p>
      <w:r>
        <w:t>A/256/2010 - 11/15 -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du 13 août 2003, I 790/01, consid. 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du 2 juillet 2007, 9C_215/2007,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du 17 juillet 2008, 9C_74/2008, consid. 2; ATF 125 V 383 consid. 3). C'est la décision initiale d'octroi de rente qui fait l'objet de la reconsidération, même si elle a été confirmée lors de procédures de révision du droit à la rente (ATF du 2 juillet 2007, 9C_215/2007, consid. 3.2; ATF du 10 mai 2006, I 859/05, consid. 2).</w:t>
      </w:r>
    </w:p>
    <w:p>
      <w:r>
        <w:rPr>
          <w:b/>
        </w:rPr>
        <w:t>E. 10</w:t>
      </w:r>
    </w:p>
    <w:p>
      <w:r>
        <w:t>En l'espèce, il s'agit d'examiner si les conditions de la révision, ou à défaut celles de la reconsidération, sont remplies. S'agissant de la révision, l'intimé fait valoir qu'un changement important des circonstances déterminant le droit à la rente s'est produit depuis la décision du 12 juin 2001. A l'époque, l'intimé s'était fondé sur une incapacité de travail de 50 %, établie médicalement, pour reconnaître une invalidité de 50 % au recourant qui n'exerçait alors pas encore d'activité professionnelle. Après l'entrée en force de cette décision, le recourant a trouvé un poste à 60 %, qu'il occupe encore à ce jour. Il est vrai que le fait que le recourant occupe depuis 8 ans un emploi qui excède la capacité de travail médicalement établie pourrait amener à revoir le taux de la capacité résiduelle de travail du recourant. Cela étant, le Tribunal de céans relève qu'une différence dans le taux d'occupation aussi minime ne permet pas de déduire avec certitude que la capacité de travail du recourant est supérieure à 50 %, dans la mesure où elle ne se traduit pas forcément par une augmentation importante de la charge de travail. En effet, on ignore à quel horaire concret correspond ce pourcentage dans le cas présent. Or, un poste exercé à 60 % dans une entreprise</w:t>
      </w:r>
    </w:p>
    <w:p>
      <w:r>
        <w:t>A/256/2010 - 12/15 - dont l'horaire hebdomadaire est de 40 heures correspond à 24 heures par semaine, alors qu'un poste à 50 % dans une entreprise qui travaille 45 heures par semaine est de 22 heures 30 hebdomadaires, soit une différence négligeable. On ne saurait donc conclure à un changement important de la capacité résiduelle de travail du recourant du fait qu'il a travaillé à un poste considéré comme un 60 %, compte tenu des variations horaires possibles en fonction des entreprises pour un même taux de travail. A cela s'ajoute le fait que la Dresse M____________ a confirmé que l'état de santé du recourant s'était aggravé en 2005, principalement en raison de l'apparition d'escarres qui ont entraîné d'assez longues hospitalisations. Cela pourrait laisser supposer que l'exercice de son emploi à 60 % plutôt que 50 % - même si la différence du nombre d'heures œuvrées est très faible - excède les capacités physiques du recourant. Cependant, la question de la capacité résiduelle de travail du recourant peut rester ouverte en l'espèce. En effet, on rappelle que l'intimé connaissait le taux d'occupation du recourant dès le 5 février 2002, date à laquelle il a reçu copie du contrat de travail du recourant. Or, l'intimé a initié une première procédure de révision du droit à la rente en 2006. A cet effet, il a sollicité des informations du recourant et un rapport du médecin traitant de celui-ci. L'intimé a dès lors procédé à un examen matériel du droit à la rente, avant de signifier au recourant, par une communication du 4 juillet 2006, que son droit à la rente n'était pas modifié. Si celle-ci n'est pas formellement intitulée décision, elle n'en a pas moins la portée matérielle dans la mesure où elle statue sur le droit à la rente du recourant pour l'avenir, en confirmant l'existence du droit à une demi-rente. Or, conformément aux principes jurisprudentiels évoqués plus haut, la possibilité d'une révision en cas de modifications importantes des circonstances sur lesquelles se fondait l'octroi d'une rente s'examine à l'aune de la situation au moment de la dernière révision du droit à la rente. En l'occurrence, celle-ci a eu lieu en 2006. A cette date, le recourant exerçait déjà son emploi à 60 % depuis plus de quatre ans, et en avait dûment informé l'intimé. Depuis lors, aucun changement significatif de la capacité de travail ou de la capacité de gain du recourant n'est survenu. Une révision s'avère dès lors impossible.</w:t>
      </w:r>
    </w:p>
    <w:p>
      <w:r>
        <w:rPr>
          <w:b/>
        </w:rPr>
        <w:t>E. 11</w:t>
      </w:r>
    </w:p>
    <w:p>
      <w:r>
        <w:t>L'intimé fait valoir que les conditions de la reconsidération sont également réunies. Ainsi que cela ressort des arrêts du Tribunal fédéral cités plus haut, c'est le caractère manifestement erroné de la décision initiale d'octroi de la rente qui doit être examiné dans le cadre de la reconsidération, même si celle-ci a été confirmée par la suite lors d'une ou plusieurs révisions. A l'époque, l'intimé avait établi un degré d'invalidité correspondant à l'incapacité de travail du recourant. Bien que cette dernière notion ne se confonde pas systématiquement avec l'incapacité de gain, comme le rappellent la doctrine et la</w:t>
      </w:r>
    </w:p>
    <w:p>
      <w:r>
        <w:t>A/256/2010 - 13/15 - jurisprudence exposées, tel était bien le cas en l'espèce. En effet, le recourant subissait une incapacité de travail de 50 % dans tous les emplois en raison de ses atteintes à la santé. L'intimé n'a jamais remis en cause le taux de cette incapacité de travail, et ne fait d'ailleurs pas valoir qu'il aurait été fixé de manière erronée. Dans les limites horaires précitées, l'activité de psychologue clinicien sur laquelle débouchait la formation universitaire du recourant était parfaitement adaptée à son handicap, et lui permettait de mettre au mieux en valeur sa capacité économique. Dans la mesure où le recourant n'exerçait pas avant son atteinte à la santé d'emploi mieux ou moins bien rétribué que le métier adapté qu'il allait exercer, on ne pouvait mesurer l'incidence économique de son invalidité en se référant à la différence des gains réalisés avant et après la survenance de l'invalidité. Ainsi, dans le cas du recourant, les degrés d'incapacité de travail et d'incapacité de gain se recouvraient et c'est à bon droit que l'intimé lui a octroyé une demi-rente d'invalidité en se fondant sur une capacité de travail de 50 %. Compte tenu de ce qui précède, force est de constater que la décision de l'intimé du</w:t>
      </w:r>
    </w:p>
    <w:p>
      <w:r>
        <w:rPr>
          <w:b/>
        </w:rPr>
        <w:t>E. 12</w:t>
      </w:r>
    </w:p>
    <w:p>
      <w:r>
        <w:t>Par surabondance, le Tribunal de céans souligne que même s'il fallait admettre que le droit à la rente du recourant doit faire l'objet d'une nouvelle décision fondée sur un nouveau calcul du degré d'invalidité, le calcul établi par l'intimé ne correspond pas aux exigences légales et jurisprudentielles en matière de détermination du taux d'invalidité. S'il est parfaitement justifié de considérer le revenu effectivement réalisé par le recourant comme revenu d'invalide, dans la mesure où celui-ci est réalisé dans le cadre d'une situation professionnelle stable correspondant à la capacité économique du recourant, la détermination du revenu sans invalidité telle qu'elle a été opérée par l'intimé est contestable. L'intimé s'est en effet référé au revenu concret du recourant - soit son revenu d'invalide - qu'il a simplement augmenté de 40 %, faisant valoir qu'il s'agirait là du revenu auquel le recourant pourrait prétendre sans invalidité. Ce faisant, l'intimé perd de vue que ce salaire est afférent à un poste précis. On pourrait admettre un tel mode de calcul si le recourant avait déjà occupé cet emploi particulier durant un certain temps avant la survenance de son accident. Or, tel n'est pas le cas. Rien ne permet d'affirmer de manière suffisamment vraisemblable que, sans invalidité, le recourant aurait embrassé une carrière de psychologue au sein du service de probation de l'Etat de Neuchâtel. Le simple fait que le recourant ait conservé son domicile à Genève, malgré la distance qui le sépare de son lieu de travail, démontre son attachement au canton qu'il habite et permet déjà d'admettre qu'il aurait travaillé à Genève plutôt qu'à Neuchâtel si un marché du travail équilibré lui avait permis d'y trouver un emploi. Compte tenu de l'importance de la mobilité professionnelle pour</w:t>
      </w:r>
    </w:p>
    <w:p>
      <w:r>
        <w:t>A/256/2010 - 14/15 - les jeunes diplômés, il est également vraisemblable que sans son atteinte à la santé, le recourant aurait changé d'emploi au cours de son parcours professionnel. Il y a dès lors lieu de déterminer le revenu hypothétique sans invalidité d'après des valeurs statistiques, qui sont bien plus à même de représenter tout l'éventail des possibilités professionnelles s'offrant à un psychologue clinicien que le revenu d'une fonction spécifique. A cet égard, on relèvera que les psychologues cliniciens qui n'exercent pas en tant qu'indépendants sont essentiellement appelés à travailler en milieu hospitalier ou clinique, soit pour leur vaste majorité dans le cadre de rapports de travail de droit public - comme c'est d'ailleurs le cas pour le recourant. Afin d'établir le revenu hypothétique le plus concrètement possible, comme le préconise la jurisprudence, il y a donc lieu de se référer aux salaires réalisés dans le secteur public et recensés dans le tableau TA2 de l'Enquête suisse sur la structure des salaires 2006 (ESS). Pour les hommes travaillant dans le domaine de la santé et des activités sociales aux niveaux 1 et 2 (travaux très qualifiés), le revenu mensuel moyen, part du 13ème salaire incluse, correspondant à 40 heures par semaine est de 11'141 fr., soit 133'692 fr. par année, soit 139'040 fr. si l'on tient compte du fait que la durée hebdomadaire moyenne de travail en 2009 était de 41.6 heures (La Vie économique,7-8/2010 tableau B10.3, p. 91), soit 147'227 fr. après indexation pour tenir compte de l'augmentation des salaires entre 2006 et 2009 (La Vie économique,7-8/2010 tableau B10.3, p. 91). Quant au revenu après invalidité, il s'établit à 64'741 fr. 30 (annualisation du revenu ressortant des fiches de salaire des mois de juin à août 2009 : 13 x 4'980 fr. 10). La comparaison entre ces deux revenus conduit à un degré d'invalidité de 56 %, qui correspond à une demi-rente.</w:t>
      </w:r>
    </w:p>
    <w:p>
      <w:r>
        <w:rPr>
          <w:b/>
        </w:rPr>
        <w:t>E. 13</w:t>
      </w:r>
    </w:p>
    <w:p>
      <w:r>
        <w:t>Eu égard aux considérations qui précèdent, le recours est admis en ce sens que le recourant conserve son droit à une demi-rente. Le recourant obtenant gain de cause, il a droit à une indemnité de dépens qu'il convient de fixer à 2'000 fr. (art. 61 let. g LPGA). La procédure de recours en matière de contestations portant sur l’octroi ou le refus de prestations de l’assurance-invalidité n'est pas gratuite (art. 69 LAI). Au vu du sort du recours, il y a lieu de condamner l'intimé au paiement d'un émolument de 1'000 fr.</w:t>
      </w:r>
    </w:p>
    <w:p>
      <w:r>
        <w:t>A/256/2010 - 15/15 -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