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ATAS/988/2009 vom 23. Juli 2009</w:t>
      </w:r>
    </w:p>
    <w:p>
      <w:r>
        <w:t>GE Cour de justice, 2009-07-23, FR</w:t>
      </w:r>
    </w:p>
    <w:p>
      <w:r>
        <w:rPr>
          <w:b/>
        </w:rPr>
        <w:t xml:space="preserve">Quelle: </w:t>
      </w:r>
      <w:r>
        <w:t>https://mcp.opencaselaw.ch/entscheid/ge_gerichte_ATAS_988_2009</w:t>
      </w:r>
    </w:p>
    <w:p>
      <w:r>
        <w:t>FR: GE_GERICHTE ATAS/988/2009 du 23 juillet 2009</w:t>
      </w:r>
    </w:p>
    <w:p>
      <w:r>
        <w:t>IT: GE_GERICHTE ATAS/988/2009 del 23 luglio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forme et délai légaux, le recours est recevable (cf. art. 56 à 60 LPGA ; art. 49 al. 2 de la loi genevoise en matière de chômage.</w:t>
      </w:r>
    </w:p>
    <w:p>
      <w:r>
        <w:rPr>
          <w:b/>
        </w:rPr>
        <w:t>E. 3</w:t>
      </w:r>
    </w:p>
    <w:p>
      <w:r>
        <w:t>Sur le plan du droit intertemporel, il y a lieu de relever, en relation avec les activités déployées par le recourant au sein de la société XA___________ SA du 3 août au 30 septembre 1998, puis de novembre 1998 à avril 2000, que la bonne foi de</w:t>
      </w:r>
    </w:p>
    <w:p>
      <w:r>
        <w:t>A/1386/2009 - 7/11 - l'assuré lorsqu'il a perçu les prestations dont la restitution est exigée est une condition posée à la remise de l'obligation de restituer, aussi bien d'après la législation en vigueur jusqu'au 31 décembre 2002 (art. 95 al. 2, 1ère phrase, LACI, dans sa teneur en vigueur à l'époque) que d'après les dispositions introduites par la LPGA dès le 1er janvier 2003 (art. 25 al. 1, 2ème phrase, LPGA). Aussi bien, par souci de simplification, le Tribunal de céans examinera le présent litige uniquement à l’aune du nouveau droit applicable à partir de cette date-là.</w:t>
      </w:r>
    </w:p>
    <w:p>
      <w:r>
        <w:rPr>
          <w:b/>
        </w:rPr>
        <w:t>E. 4</w:t>
      </w:r>
    </w:p>
    <w:p>
      <w:r>
        <w:t>Conformément à l’art. 3 de l’ordonnance sur la partie générale du droit des assurances sociales du 11 septembre 2002 (OPGA), l’étendue de l’obligation de restituer est fixée par une décision (al. 1er),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toutefois que d’un délai d’ordre et non de péremption (ATF 132 V 42 consid. 3.4). En l’espèce, les décisions des 16 juillet et 22 août 2008, par lesquelles la Caisse réclamait au recourant la restitution de 7’790 fr. 75, respectivement de 57’463 fr. 70, sont exécutoires et définitives à la suite de l’arrêt du Tribunal fédéral du 18 mars 2008. Cet arrêt a été expédié pour notification à l’assuré le 4 avril suivant. Il ne fait ainsi pas de doute que sa demande de remise formulée le 6 juin 2008 l’a été tardivement, soit plus de 30 jours après la réception dudit arrêt. Le recourant ne conteste d’ailleurs pas que sa demande de remise a été déposée plus de trente jours après qu’il a reçu l’arrêt du Tribunal fédéral. Cela étant, il est douteux que le dépôt tardif de la demande de remise entraîne sans autre son irrecevabilité, dès lors que, selon la jurisprudence précitée, le délai de 30 jours prévu à l’art. 4 al. 4 OPGA n’est pas un délai de péremption, mais un simple délai d’ordre. Cette question peut toutefois rester indécise, au vu des considérants qui suivent.</w:t>
      </w:r>
    </w:p>
    <w:p>
      <w:r>
        <w:rPr>
          <w:b/>
        </w:rPr>
        <w:t>E. 5</w:t>
      </w:r>
    </w:p>
    <w:p>
      <w:r>
        <w:t>Aux termes de l'art. 95 al. 1 et 3 LACI, la demande de restitution est régie par l'art. 25 LPGA à l'exception des cas relevant de l'art. 55 LACI (faillite de l'employeur, obligation de l'assuré). Le cas échéant, la caisse soumet sa demande de remise à l'autorité cantonale pour décision (al. 3).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t>A/1386/2009 - 8/11 - La bonne foi doit faire l’objet d’un examen minutieux dans chaque cas particulier. Elle doit notamment être niée lorsque le versement indu de la prestation a pour origine le comportement intentionnel ou la négligence grave de la personne tenue à restitution. A cet égard, la jurisprudence développée à propos de l’art. 47 al. 1 de la loi fédérale sur l'assurance-vieillesse et survivants du 20 décembre 1946 (LAVS) vaut par analogie en matière d’assurance-chômage (ATF 126 V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 voir aussi art. 43 al. 3 LPGA)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(ATF non publié du 17 avril 2008, 8C_766/2007, consid. 4.1 et les références citées). Enfin, le Tribunal fédéral des assurances a admis une négligence grave dans le cas où l'assuré a donné des réponses inexactes aux questions concrètes d'une formule à remplir (ATF 110 V 181, consid. 3 d, RCC 1985, p. 63). Doctrine et jurisprudence distinguent la négligence grave (faute grave) de la négligence légère (faute légère). Commet une faute grave celui qui viole les règles les plus élémentaires de la prudence, négligeant les précautions qui se seraient imposées à l'évidence à toute personne raisonnable placée dans les mêmes circonstances (ATF 119 II 443 consid. 2A ; Luc Thévenoz/Franz Werro, Commentaire romand du Code des obligations I, Genève-Bâle-Munich 2003, Luc Thévenoz, n° 15 ad art. 100 et les références citées ; cf. également Pierre Engel, Traité des obligations en droit suisse, 2e éd., Berne 1997, p. 466 ; Honsell/Vogt/Wiegand, Kommentar zum schweizerischen Privatrecht, Obligationenrecht I, 2e éd., Bâle et Francfort-sur-le-Main 1996, n° 49 ad art. 41). Il y a, en revanche, faute légère lorsque la violation de la norme de comportement apparaît comme une inadvertance, un manque de diligence peu important («un homme raisonnable placé dans les mêmes circonstances ne l'aurait pas commise,</w:t>
      </w:r>
    </w:p>
    <w:p>
      <w:r>
        <w:t>A/1386/2009 - 9/11 - mais il aurait pu lui arriver, une fois, de la commettre», Thévenoz, op. cit., n° 15 ad art. 100 ; Heinrich Honsell, Schweizerisches Haftpflichtrecht, 3e éd., Zürich 2000, p. 69). Il n'existe aucun critère strict permettant de distinguer entre faute grave et légère. La détermination du degré de la faute doit reposer sur une appréciation objective («la faute est objectivée» ; Engel, op. cit., p. 457). Partant, il ne faut pas se demander si l'auteur du dommage aurait pu agir autrement in concreto, mais plutôt s'il aurait pu éviter un manquement à son devoir légal en adoptant un comportement qui correspond à un degré de diligence moyen (Honsell, op. cit., p. 66) (ATF du 26 juin 2008, B-7916/2007, consid. 4.1). Par ailleurs,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6</w:t>
      </w:r>
    </w:p>
    <w:p>
      <w:r>
        <w:t>En l’espèce, le recourant a admis avoir violé fautivement son obligation d’annoncer et d’informer la caisse. Il tente toutefois de minimiser sa faute, qu’il estime « légère », en soutenant en substance qu’il n’avait en réalité aucun pouvoir de décision au sein des sociétés en cause (n’étant qu’un « simple exécutant »), contrairement à de prétendus actionnaires ou dirigeants de fait, et qu’il s’agissait pour lui de son premier mandat d’administrateur. Pareil argument n’est pas pertinent, déjà parce que c’est l’assuré lui-même qui a produit les attestations d’employeur litigieuses, dont il ne pouvait par ailleurs pas ne pas savoir - au vu de « sa fonction de responsable administratif financier » de la société Y__________. SA, respectivement d’administrateur de XA___________ SA - que leur contenu ne correspondait pas à la réalité. On relèvera également que l’intéressé se présente au public comme un « conseiller d’entreprise ». Au demeurant, le recourant ne saurait se disculper en invoquant son manque compétence ou de formation dans le domaine de l’administration de société, car exercer un mandat dans telles conditions est déjà en soi constitutif d'un cas de</w:t>
      </w:r>
    </w:p>
    <w:p>
      <w:r>
        <w:t>A/1386/2009 - 10/11 - négligence grave. De même, s’il ne pouvait prétendument pas exercer correctement son mandat en raison d’instructions qu’il aurait désapprouvées, il devait alors démissionner de ces fonctions. L’assuré reproche encore à ses conseillers en personnel d’avoir commis « des actes de négligence dans l’exercice de leurs fonctions, en n’informant pas l’intéressé sur ses obligations envers l’autorité cantonale notamment en ce qui concerne son devoir de renseigner ». Ce faisant, il se prévaut implicitement de l’art. 27 LPGA, selon lequel, « dans les limites de leur domaine de compétence, les assureurs et les organes d’exécution des diverses assurances sociales sont tenus de renseigner les personnes intéressées sur leurs droits et obligations ». On ne saurait toutefois déduire de cette disposition une obligation pour l'administration de donner des renseignements ou des conseils tant qu'elle ne peut pas, en prêtant l'attention usuelle, reconnaître que la personne assurée se trouve dans une situation dans laquelle elle risque de perdre son droit aux prestations (ATF 133 V 249; consid. 7.2), ce qui est précisément le cas lorsque, comme en l’espèce, l’assuré lui a fourni des informations inexactes. En tout état, le comportement du recourant n’a pas à être protégé en vertu du principe « nemo auditeur propriam turpitudinem allegans » (art. 2 al. 2 CC). Aussi, doit-on considérer que dans la mesure où il a donné des indications inexactes au sujet de faits déterminants pour le droit à l'indemnité de chômage, le recourant ne peut se prévaloir de sa bonne foi. Partant, il n'est pas nécessaire d'examiner si la restitution des prestations indûment perçues pourrait le mettre dans une situation difficile. En effet, les deux conditions auxquelles la remise est subordonnée sont cumulatives. Le Tribunal observera néanmoins, par surabondance, que le recourant n’a versé au dossier aucune pièce permettant de démontrer à satisfaction de droit qu’il se trouvait dans une situation difficile au sens où l’entend l’art. 25 al. 1 LPGA, étant par ailleurs rappelé que même si la procédure devant le TCAS est régie par la maxime inquisitoire (art. 61 let. c LPGA), les assurés sont tenus d'y collaborer et de produire tous les éléments qu'ils jugent nécessaires à la défense de leurs intérêts (cf. ATF du 25 juin 2006, 9C_749/2007, consid. 2.3). C'est dès lors à juste titre que l'OCE a refusé la remise de l'obligation de restituer ces prestations.</w:t>
      </w:r>
    </w:p>
    <w:p>
      <w:r>
        <w:t>A/1386/2009 - 11/11 -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