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ATAS/987/2024 vom 10. Dezember 2024</w:t>
      </w:r>
    </w:p>
    <w:p>
      <w:r>
        <w:t>GE Cour de justice, 2024-12-10, FR</w:t>
      </w:r>
    </w:p>
    <w:p>
      <w:r>
        <w:rPr>
          <w:b/>
        </w:rPr>
        <w:t xml:space="preserve">Quelle: </w:t>
      </w:r>
      <w:r>
        <w:t>https://mcp.opencaselaw.ch/entscheid/ge_gerichte_ATAS_987_2024</w:t>
      </w:r>
    </w:p>
    <w:p>
      <w:r>
        <w:t>FR: GE_GERICHTE ATAS/987/2024 du 10 décembre 2024</w:t>
      </w:r>
    </w:p>
    <w:p>
      <w:r>
        <w:t>IT: GE_GERICHTE ATAS/987/2024 del 10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A/680/2023 - 16/30 -</w:t>
      </w:r>
    </w:p>
    <w:p>
      <w:r>
        <w:rPr>
          <w:b/>
        </w:rPr>
        <w:t>E. 1.2</w:t>
      </w:r>
    </w:p>
    <w:p>
      <w:r>
        <w:t>Interjeté dans la forme (art. 61 let. b LPGA [applicable par le renvoi de l'art. 1 al. 1 LAI]) et le délai de trente jours (art. 56, 60 et 38 al. 3 LPGA) prévus par la loi, le recours contre la décision du 20 janvier 2023 notifiée le 25 janvier suivant est recevable.</w:t>
      </w:r>
    </w:p>
    <w:p>
      <w:r>
        <w:rPr>
          <w:b/>
        </w:rPr>
        <w:t>E. 2</w:t>
      </w:r>
    </w:p>
    <w:p>
      <w:r>
        <w:t>Le litige porte sur le droit du recourant à une rente d'invalidité à compter du 1er juillet 2022.</w:t>
      </w:r>
    </w:p>
    <w:p>
      <w:r>
        <w:rPr>
          <w:b/>
        </w:rPr>
        <w:t>E. 3</w:t>
      </w:r>
    </w:p>
    <w:p>
      <w:r>
        <w:t>[services]),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 arrêts</w:t>
      </w:r>
    </w:p>
    <w:p>
      <w:r>
        <w:t>A/680/2023 - 23/30 - du Tribunal fédéral 8C_124/2021 du 2 août 2021 consid. 4.4.1 et 8C_111/2021 du 30 avril 2021 consid. 4.2.1 et les références).</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w:t>
      </w:r>
    </w:p>
    <w:p>
      <w:r>
        <w:t>A/680/2023 - 17/30 -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(al. 2). Lorsqu’un droit à la rente a pris naissance antérieurement au 1er janvier 2022, un éventuel passage au nouveau système de rentes linéaire s'effectue, pour les bénéficiaires de rente qui n’avaient pas encore 55 ans à cette date, conformément à la let. b des dispositions transitoires de la LAI relatives à la modification du 19 juin 2020, dont le ch. 1 stipule que, pour ces personnes-ci, la quotité de la rente ne change pas tant que leur taux d’invalidité ne subit pas de modification au sens de l’art. 17 al. 1 LPGA. Selon l'art. 17 al. 1 LPGA, la rente d’invalidité est, d’office ou sur demande, révisée pour l’avenir, à savoir augmentée, réduite ou supprimée, lorsque le taux d’invalidité de l’assuré : subit une modification d’au moins 5 points de pourcentage (let. a) ou atteint 100 % (let. b).</w:t>
      </w:r>
    </w:p>
    <w:p>
      <w:r>
        <w:rPr>
          <w:b/>
        </w:rPr>
        <w:t>E. 3.1.2</w:t>
      </w:r>
    </w:p>
    <w:p>
      <w:r>
        <w:t>En l'occurrence, le recourant, né le 25 novembre 1978, était âgé de 43 ans au 1er janvier 2022, et son droit (matériel) à la rente d'invalidité (un quart) est né avant le 1er janvier 2022, ce qui n'est pas contesté. La modification déterminante de son taux d'invalidité s'est toutefois produite après le 31 décembre 2021 (au terme de la mesure de reclassement en juin 2022), de sorte que les dispositions de la LAI et du RAI dans leur version en vigueur à partir du 1er janvier 2022 sont applicables.</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 motif de révision a été retenu notamment lorsqu’une mesure de réadaptation a réussi (arrêt du Tribunal fédéral 9C_231/2016 du 1er juin 2016 consid. 2.1).</w:t>
      </w:r>
    </w:p>
    <w:p>
      <w:r>
        <w:rPr>
          <w:b/>
        </w:rPr>
        <w:t>E. 3.3</w:t>
      </w:r>
    </w:p>
    <w:p>
      <w:r>
        <w:t>A/680/2023 - 18/30 -</w:t>
      </w:r>
    </w:p>
    <w:p>
      <w:r>
        <w:rPr>
          <w:b/>
        </w:rPr>
        <w:t>E. 3.3.1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3.3.2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w:t>
      </w:r>
    </w:p>
    <w:p>
      <w:r>
        <w:t>A/680/2023 - 19/30 -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A/680/2023 - 20/30 -</w:t>
      </w:r>
    </w:p>
    <w:p>
      <w:r>
        <w:rPr>
          <w:b/>
        </w:rPr>
        <w:t>E. 3.4.1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w:t>
      </w:r>
    </w:p>
    <w:p>
      <w:r>
        <w:rPr>
          <w:b/>
        </w:rPr>
        <w:t>E. 3.4.2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w:t>
      </w:r>
    </w:p>
    <w:p>
      <w:r>
        <w:t>A/680/2023 - 21/30 -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Le revenu d'invalide doit être évalué avant tout en fonction de la situation professionnelle concrète de l'intéressé (ATF 135 V 297 consid. 5.2). On considère que l’assuré exploite autant que possible sa capacité fonctionnelle résiduelle en exerçant une activité lucrative lorsque le revenu qui en découle correspond approximativement à la valeur statistique médiane (Circulaire sur l’invalidité et les rentes dans l’assurance-invalidité - CIRAI, établi par l'Office fédéral des assurances sociales, dans son état au 1er juillet 2022, ch. 3408).</w:t>
      </w:r>
    </w:p>
    <w:p>
      <w:r>
        <w:t>A/680/2023 - 22/30 - Si l’assuré n’exploite pas toute sa capacité de travail résiduelle en raison d’un taux d’occupation trop faible alors qu’il serait possible pour l’employeur d’augmenter ce taux, le salaire effectivement réalisé peut-être extrapolé de façon à ce qu’il corresponde au taux d’occupation raisonnablement exigible (arrêts du Tribunal fédéral 8C_7/2014, 9C_720/2012, 8C_579/2009 et 8C_25/2010). Dans le cas contraire, le revenu avec invalidité doit en principe être déterminé sur la base de valeurs statistiques (CIRAI, ch. 3409). Si l’assuré ne réalise pas de revenu déterminant, le revenu avec invalidité est déterminé en fonction des valeurs statistiques visées à l’art. 25 al. 3 RAI (art. 26bis al. 2 1re phrase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(CIRAI, ch. 3412).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Lorsque cela apparaît indiqué dans un cas concret pour permettre à l'assuré de mettre pleinement à profit sa capacité résiduelle de travail, il y a lieu parfois de se référer aux salaires mensuels de secteurs particuliers (secteur 2 [production] ou</w:t>
      </w:r>
    </w:p>
    <w:p>
      <w:r>
        <w:rPr>
          <w:b/>
        </w:rPr>
        <w:t>E. 3.5</w:t>
      </w:r>
    </w:p>
    <w:p>
      <w:r>
        <w:t>Le 1er janvier 2024, la modification de l’art. 26bis al. 3 RAI du 18 octobre 2023 (déduction forfaitaire ; RO 2023 635) est entrée en vigueur.</w:t>
      </w:r>
    </w:p>
    <w:p>
      <w:r>
        <w:rPr>
          <w:b/>
        </w:rPr>
        <w:t>E. 3.5.1</w:t>
      </w:r>
    </w:p>
    <w:p>
      <w:r>
        <w:t>Cet article prévoit qu’une réduction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En l’absence de disposition transitoire spéciale, ce sont les principes généraux de droit intertemporel qui prévalent, à savoir l’application du droit en vigueur lorsque les faits déterminants se sont produits (cf. ATF 148 V 174 consid. 4.1 et les références). Lors de l’examen d’une demande d’octroi de rente d’invalidité, est déterminant le moment de la naissance du droit éventuel à la rente. Lorsque cette date est antérieure au 1er janvier 2024, la situation est régie par les dispositions réglementaires en vigueur jusqu’au 31 décembre 2023 (OFAS, CIRAI, état au 1er janvier 2024, ch. 9201).</w:t>
      </w:r>
    </w:p>
    <w:p>
      <w:r>
        <w:rPr>
          <w:b/>
        </w:rPr>
        <w:t>E. 3.5.2</w:t>
      </w:r>
    </w:p>
    <w:p>
      <w:r>
        <w:t>En l’occurrence, le litige porte sur la quotité de la rente d’invalidité, dont il n’est pas contesté que le droit est né antérieurement au 1er janvier 2024, de sorte qu’est applicable l’art. 26bis al. 3 RAI dans sa teneur en vigueur jusqu’au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(art. 26bis al. 3 RAI dans sa teneur en vigueur du 1er janvier 2022 au 31 décembre 2023).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w:t>
      </w:r>
    </w:p>
    <w:p>
      <w:r>
        <w:t>A/680/2023 - 24/30 - al. 3 RAI, il y a lieu recourir, en complément, à la jurisprudence appliquée jusqu’à présent par le Tribunal fédéral (consid. 10.6). Seule l’évaluation de la capacité fonctionnelle est déterminante pour l’octroi de la déduction de 10%. Si ces capacités sont égales ou inférieures à 50% par rapport à une activité lucrative exercée à plein temps, la déduction est accordée, quel que soit le temps nécessaire pour fournir la prestation correspondante (CIRAI, ch. 3418).</w:t>
      </w:r>
    </w:p>
    <w:p>
      <w:r>
        <w:rPr>
          <w:b/>
        </w:rPr>
        <w:t>E. 4.1</w:t>
      </w:r>
    </w:p>
    <w:p>
      <w:r>
        <w:t>En l'espèce, sur le plan médical, s'agissant des atteintes à la santé somatique, par avis du 1er mars 2021, le SMR a retenu, en suivant les conclusions des médecins traitants du recourant, que ce dernier, inapte à exercer son activité habituelle d'agent de détention depuis le 11 septembre 2019, pouvait exercer à plein temps une activité adaptée aux limitations fonctionnelles d'épargne du rachis depuis le 26 juin 2020. Ensuite, le SMR, par avis du 2 juin 2022, s'est prononcé sur le dernier rapport du</w:t>
      </w:r>
    </w:p>
    <w:p>
      <w:r>
        <w:rPr>
          <w:b/>
        </w:rPr>
        <w:t>E. 4.2</w:t>
      </w:r>
    </w:p>
    <w:p>
      <w:r>
        <w:t>Reste à se prononcer sur le degré d'invalidité du recourant, à l'issue de la mesure de reclassement dans le domaine administratif en juin 2022. En ce qui concerne le revenu d'invalide, c'est à juste titre que l'intimé s'est appuyé sur les valeurs statistiques, puisque le recourant n’exploite pas toute sa capacité de travail résiduelle auprès de la FASE qui l'a engagé à un taux d'occupation réduit pour des raisons budgétaires. L'intimé s'est fondé sur le salaire de références des branches 77-82 « activités de services admin. et de soutien » du secteur 3 « services » issu de la table TA1_tirage_skill_level de l'ESS 2020. Or, les fonctions du secteur 3 comprennent notamment des activités administratives et de bureau impliquant des positions statiques de longue durée, lesquelles sont, comme on l'a vu supra, déconseillées par le Dr C______ et le SMR. Dans ces conditions, l'intimé ne pouvait pas appliquer la table TA1 « services » laquelle est vouée à s'appliquer en lieu et place</w:t>
      </w:r>
    </w:p>
    <w:p>
      <w:r>
        <w:t>A/680/2023 - 26/30 - de la table TA1 « total » uniquement lorsque la situation concrète de l'assuré l'exige (cf. arrêt du Tribunal fédéral 8C_205/2021 du 4 août 2021 consid. 5.2). L'intimé ne pouvait pas non plus se référer aux données de l'ESS correspondant au niveau de compétence 3, lequel concerne les tâches pratiques complexes nécessitant un vaste ensemble de connaissances dans un domaine spécialisé. Le Tribunal fédéral a retenu un tel niveau, des branches économiques 45–47 « Commerce ; réparation d’automobiles », pour un assuré directeur d’une succursale automobile, ayant terminé avec succès un apprentissage de quatre ans en tant que mécanicien, disposant d’une expérience de plusieurs années dans cette profession, titulaire d’un brevet fédéral de conseiller à la clientèle dans la branche automobile. Les certificats de travail établis par les différents employeurs attestaient que l’assuré y a notamment effectué des tâches administratives et organisationnelles plus complexes (conseils à la clientèle, tâches comptables, organisation d’événements pour la clientèle, tâches liées à des projets, préparation des commandes des clients et surveillance des livraisons, formation des apprentis, etc. ; arrêt du Tribunal fédéral 8C_431/2021 du 26 janvier 2022 consid. 5.2 ; David IONTA, Revenu d’invalide selon l’ESS – une mise à jour, in Jusletter 21 novembre 2022, p. 23). Or, en l'occurrence, le recourant, qui n'a pas travaillé en qualité de directeur ou sous-directeur, a successivement exercé comme agent de voyage, guichetier à la trésorerie générale de l'État et agent de détention (dossier OAI p. 295). Il est titulaire d'un CFC d'employé de commerce avec une spécialisation d'agent de voyage. Dans le cadre de la mesure de reclassement dont il a bénéficié, il a été réadapté dans le secteur administratif, en particulier dans le domaine social. Il peut ainsi mettre à profit les compétences et connaissances acquises au cours de cette mesure de réadaptation dans un autre domaine tombant sous le large éventail d'activités pratiques prévues par le niveau de compétence 2, dont font notamment partie les tâches administratives (cf. arrêt du Tribunal fédéral 8C_801/2021 du 28 juin 2022 consid 2.3). Il convient dès lors de prendre pour base le salaire mensuel de CHF 5'791.- (valeur statistique médiane figurant à la ligne « total » pour un homme, niveau de compétence 2 de la table TA1 de l'ESS 2020, part au 13e salaire comprise) ou celui annuel de CHF 69'492.- (5'791 × 12). Ce salaire hypothétique se base toutefois sur une durée hebdomadaire de travail de 40 heures, inférieure à la moyenne usuelle dans les entreprises. Il convient alors de l'ajuster à la durée hebdomadaire normale de travail en 2020, laquelle est de 41.7 heures (tableau « Durée normale du travail dans les entreprises selon la division économique » de l'Office fédéral de la statistique), ce qui porte le salaire annuel à CHF 72'445.41.- (69'492 × 41.7 / 40). Après adaptation de ce montant à l'évolution des salaires nominaux pour les hommes en 2022 (ISS ; en 2020 : 2298 et en 2022 : 2305), le revenu avec invalidité s'élève à CHF 72'666.08 (72'445.41 × 2305 / 2298) pour un plein temps.</w:t>
      </w:r>
    </w:p>
    <w:p>
      <w:r>
        <w:t>A/680/2023 - 27/30 - Dans une note interne du 14 septembre 2022, l'intimé, pour la période antérieure à la réadaptation, a tenu compte des limitations fonctionnelles et du nombre d'années de service pour réduire le salaire statistique de 10%. Au terme de la mesure de reclassement en juin 2022, l'intimé n'a pas opéré un abattement au motif que la capacité fonctionnelle du recourant, entière, excluait toute réduction du revenu d'invalide selon les nouvelles dispositions réglementaires sur l'évaluation du taux d'invalidité. Or, selon la jurisprudence récente du Tribunal fédéral (arrêt 8C_823/2023 précité), nonobstant l'entrée en vigueur, le 1er janvier 2022 de l'art. 26bis al. 3 RAI, la jurisprudence développée par le Tribunal fédéral antérieurement au 1er janvier 2022 concernant les critères justifiant un abattement sur le salaire d'invalide issu des statistiques demeure applicable (ATAS/733/2024 du 25 septembre 2024 consid. 5.2 ; cf. ATF 148 V 174 consid. 6.3 pour les facteurs de réduction et le taux maximum de l'abattement [25%]). Autrement dit, lorsque la capacité fonctionnelle de l'assuré est supérieure à 50%, une réduction du revenu d'invalide pouvant aller jusqu'à 25% peut continuer à être appliquée sur la base de l'art. 26bis al. 3 RAI, dans sa version en vigueur du 1er janvier 2022 au 31 décembre 2023, si une correction s'avère nécessaire en raison d'autres facteurs que celui du travail à temps partiel, pour lequel l'article précité prévoit une réduction forfaitaire de 10% en cas de capacité fonctionnelle égale ou inférieure à 50% (cf. arrêt du Tribunal des assurances du canton de Soleure VSBES.2023.191 du 5 novembre 2024 consid. 4.4). Dans le cas d'espèce, la nationalité du recourant (suisse) et son âge (44 ans au moment de la décision litigieuse) ne justifient pas une réduction supplémentaire au 10% retenu initialement par l'intimé, d'autant moins qu'il a été engagé par la FASE (certes à un taux réduit mais pour des raisons budgétaires). Il s'ensuit que son revenu avec invalidité se chiffre à CHF 65'399.472 (72'666.08 × 10 / 100 = 7'266.608 ; 72'666.08 - 7'266.608 = 65'399.472). Compte tenu d'un revenu sans invalidité - non contesté - de CHF 104'450.- il en résulte un taux d'invalidité de 37.39% ([104'450 - 65'399.472] / 104'450 × 100), arrondi à 37% (ATF 130 V 121 consid. 3.2). Dans la mesure où le taux d'invalidité du recourant ne subit pas une modification d'au moins 5 points de pourcentage (40% versus 37% ; art. 17 al. 1 let. a LPGA), l'ancien système de rente est applicable pour la révision, de sorte que le recourant continuera à bénéficier d'un quart de rente sur la base d'un taux d'invalidité de 40% (consid. 3.1.1 ci-dessus). Au passage, si l'on appliquait le salaire de références des branches 77-82 « activités de services admin. et de soutien » du secteur 3 « services » issu de la table TA1_tirage_skill_level de l'ESS 2020, comme l'ont fait les parties, cela ne changerait pas l'issue du litige.</w:t>
      </w:r>
    </w:p>
    <w:p>
      <w:r>
        <w:t>A/680/2023 - 28/30 - Dans cette hypothèse, le revenu avec invalidité s'élèverait à CHF 61'514.586 ([5'447 - salaire statistique -, homme, niveau de compétence 2 - × 12] × [41.7 / 40] × [2305 / 2298], réduit de 10% pour les motifs évoqués supra). Comparé au revenu sans invalidité de CHF 104'450.-, le taux d'invalidité serait de 41.10% ([104'450 - 61'514.586] / 104'450 × 100), arrondi à 41%, soit une modification inférieure aux 5 points de pourcentage (40% versus 41%).</w:t>
      </w:r>
    </w:p>
    <w:p>
      <w:r>
        <w:rPr>
          <w:b/>
        </w:rPr>
        <w:t>E. 4.3</w:t>
      </w:r>
    </w:p>
    <w:p>
      <w:r>
        <w:t>Le recourant sollicite l’octroi d’intérêts moratoires de 5% sur les arriérés de rentes.</w:t>
      </w:r>
    </w:p>
    <w:p>
      <w:r>
        <w:rPr>
          <w:b/>
        </w:rPr>
        <w:t>E. 4.3.1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art. 7 al. 2 OPGA).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w:t>
      </w:r>
    </w:p>
    <w:p>
      <w:r>
        <w:rPr>
          <w:b/>
        </w:rPr>
        <w:t>E. 4.3.2</w:t>
      </w:r>
    </w:p>
    <w:p>
      <w:r>
        <w:t>En l'occurrence, le recourant a droit au paiement rétroactif d'un quart de rente d’invalidité supprimé à tort dès le 1er juillet 2022, de sorte que le délai de 24 mois échoit le 30 juin 2024. Même si l’intimé a supprimé à tort cette rente d’invalidité dès le 1er juillet 2022, le droit à des intérêts moratoires ne court pas dès le moment où la rente a été supprimée, mais à l’échéance d’un délai de 24 mois dès cette date, conformément à l’art. 26 al. 2 LPGA. Il s’ensuit que l’intimé doit être condamné au versement des intérêts moratoires à compter du 1erjuillet 2024, jusqu’à la fin du mois durant lequel l’ordre de paiement est donné (cf. ATAS/568/2014 du 30 avril 2014 consid. 14c).</w:t>
      </w:r>
    </w:p>
    <w:p>
      <w:r>
        <w:rPr>
          <w:b/>
        </w:rPr>
        <w:t>E. 5</w:t>
      </w:r>
    </w:p>
    <w:p>
      <w:r>
        <w:t>Au vu de ce qui précède, le recours sera partiellement admis et la décision litigieuse réformée en ce sens que le droit du recourant à un quart de rente d'invalidité est maintenu au-delà du 30 juin 2022, avec intérêts moratoires de 5% dès le 1er juillet 2024 jusqu'à la fin du mois durant lequel l'ordre de paiement est donné. Le recourant, représenté par une avocate, obtenant partiellement gain de cause, une indemnité lui sera accordée à titre de participation à ses frais et dépens (art. 61 let. g LPGA ; art. 6 du règlement sur les frais, émoluments et indemnités en</w:t>
      </w:r>
    </w:p>
    <w:p>
      <w:r>
        <w:t>A/680/2023 - 29/30 - matière administrative du 30 juillet 1986 [RFPA - E 5 10.03]), arrêtée en l'espèce à CHF 2'000.-. Au vu du sort du recours, l'intimé sera condamné au paiement d'un émolument de CHF 200.- (art. 69 al.1bis LAI).</w:t>
      </w:r>
    </w:p>
    <w:p>
      <w:r>
        <w:t>A/680/2023 - 30/30 -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