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ATAS/987/2014 vom 9. September 2014</w:t>
      </w:r>
    </w:p>
    <w:p>
      <w:r>
        <w:t>GE Cour de justice, 2014-09-09, FR</w:t>
      </w:r>
    </w:p>
    <w:p>
      <w:r>
        <w:rPr>
          <w:b/>
        </w:rPr>
        <w:t xml:space="preserve">Quelle: </w:t>
      </w:r>
      <w:r>
        <w:t>https://mcp.opencaselaw.ch/entscheid/ge_gerichte_ATAS_987_2014</w:t>
      </w:r>
    </w:p>
    <w:p>
      <w:r>
        <w:t>FR: GE_GERICHTE ATAS/987/2014 du 9 septembre 2014</w:t>
      </w:r>
    </w:p>
    <w:p>
      <w:r>
        <w:t>IT: GE_GERICHTE ATAS/987/2014 del 9 settembre 2014</w:t>
      </w:r>
    </w:p>
    <w:p>
      <w:pPr>
        <w:pStyle w:val="Heading2"/>
      </w:pPr>
      <w:r>
        <w:t>Erwägungen</w:t>
      </w:r>
    </w:p>
    <w:p>
      <w:r>
        <w:rPr>
          <w:b/>
        </w:rPr>
        <w:t>E. 19</w:t>
      </w:r>
    </w:p>
    <w:p>
      <w:r>
        <w:t>décembre 2008 - CPC; RS 272), exécuter d'office le partage sur la base de la clé de répartition déterminée par le juge du divorce ; Que 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 Qu’en l’espèce, le juge de première instance a ordonné le partage par moitié des prestations de sortie acquises durant le mariage par le demandeur ; Que les dates pertinentes sont, d’une part, celle du mariage, le 16 mai 2008, d’autre part le 21 mai 2014, date à laquelle le jugement de divorce est devenu exécutoire ; Que cependant la chambre de céans constate qu’il n’y a, en l’espèce, aucun avoir de prévoyance à partager.</w:t>
      </w:r>
    </w:p>
    <w:p>
      <w:r>
        <w:t>A/1720/2014 3/4 ***</w:t>
      </w:r>
    </w:p>
    <w:p>
      <w:r>
        <w:t>A/1720/2014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