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ATAS/986/2022 vom 15. November 2022</w:t>
      </w:r>
    </w:p>
    <w:p>
      <w:r>
        <w:t>GE Cour de justice, 2022-11-15, FR</w:t>
      </w:r>
    </w:p>
    <w:p>
      <w:r>
        <w:rPr>
          <w:b/>
        </w:rPr>
        <w:t xml:space="preserve">Quelle: </w:t>
      </w:r>
      <w:r>
        <w:t>https://mcp.opencaselaw.ch/entscheid/ge_gerichte_ATAS_986_2022</w:t>
      </w:r>
    </w:p>
    <w:p>
      <w:r>
        <w:t>FR: GE_GERICHTE ATAS/986/2022 du 15 novembre 2022</w:t>
      </w:r>
    </w:p>
    <w:p>
      <w:r>
        <w:t>IT: GE_GERICHTE ATAS/986/2022 del 15 novembre 2022</w:t>
      </w:r>
    </w:p>
    <w:p>
      <w:pPr>
        <w:pStyle w:val="Heading2"/>
      </w:pPr>
      <w:r>
        <w:t>Erwägungen</w:t>
      </w:r>
    </w:p>
    <w:p>
      <w:r>
        <w:rPr>
          <w:b/>
        </w:rPr>
        <w:t>E. 29</w:t>
      </w:r>
    </w:p>
    <w:p>
      <w:r>
        <w:t>novembre 2021 de la doctoresse H______, spécialiste FMH en médecine interne générale, faisant état d'une pathologie d'anévrisme cérébral. h. Dans ses déterminations des 8 décembre 2021 et 25 janvier 2022, l'intimé a persisté dans ses conclusions, en se ralliant à l'avis joint du SMR du 7 décembre 2021.</w:t>
      </w:r>
    </w:p>
    <w:p>
      <w:r>
        <w:t>A/4400/2019 - 6/20 - i. Le 19 septembre 2022, la chambre de céans a informé les parties qu’elle entendait confier une expertise bi-disciplinaire aux docteurs I______, spécialiste FMH en chirurgie orthopédique et traumatologie de l'appareil locomoteur, et J______, spécialiste FMH en psychiatrie et psychothérapie, et leur a imparti un délai pour se déterminer sur les experts, ainsi que sur les questions à leur poser. j. Les parties se sont déterminées et n’ont pas fait valoir de motifs de récusation à l’encontre desdits experts. L’intimé a en revanche sollicité qu’une question supplémentaire soit intégrée dans la mission d’expertise. Celle-ci a dès lors été complétée en ce sens.</w:t>
      </w:r>
    </w:p>
    <w:p>
      <w:r>
        <w:t>EN DROIT</w:t>
      </w:r>
    </w:p>
    <w:p>
      <w:r>
        <w:t>1. La compétence de la chambre de céans et la recevabilité du recours ont été examinées dans l’ordonnance d’expertise du 30 mars 2021; il suffit d'y renvoyer. 2. À teneur de l'art. 1 al. 1 de la loi fédérale sur l’assurance-invalidité du 19 juin 1959 (LAI - RS 831.20), les dispositions de la loi fédérale sur la partie générale du droit des assurances sociales du 6 octobre 2000 (LPGA - RS 830.1) s'appliquent à l'assurance-invalidité, à moins que la loi n'y déroge expressément. 3. Le 1er janvier 2021, est entrée en vigueur la modification du 21 juin 2019 de la LPGA. Toutefois, dans la mesure où le recours était, au 1er janvier 2021, pendant devant la chambre de céans, il reste soumis à l'ancien droit (cf. art. 82a LPGA). 4. Le 1er janvier 2022, sont entrées en vigueur les modifications de la LAI du 19 juin 2020 (développement continu de l’AI ; RO 2021 705). 4.1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4.2 En l’occurrence, la décision querellée (du 24 octobre 2019) a été rendue antérieurement au 1er janvier 2022, de sorte que les dispositions légales applicables seront citées dans leur ancienne teneur. 5. Le litige porte, dans le cadre de la nouvelle demande de prestations du 17 février 2017, sur le droit de la recourante à une rente d'invalidité et à des mesures professionnelles. 6.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w:t>
      </w:r>
    </w:p>
    <w:p>
      <w:r>
        <w:t>A/4400/2019 - 7/20 -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arrêt du Tribunal fédéral 9C_721/2014 du 16 juin 2015 consid. 3.1).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8. En vertu de l’art. 28 al. 2 LAI, l’assuré a droit à une rente entière s’il est invalide à 70% au moins, à un trois-quarts de rente s'il est invalide à 60% au moins, à une demi-rente s’il est invalide à 50% au moins, ou à un quart de rente s’il est invalide à 40% au moins. 8.1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w:t>
      </w:r>
    </w:p>
    <w:p>
      <w:r>
        <w:t>A/4400/2019 - 8/20 - elle entraîne une incapacité de travail ayant des effets sur la capacité de gain de l’assuré (arrêt du Tribunal fédéral des assurances I.654/00 du 9 avril 2001 consid. 1).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I.786/04 du 19 janvier 2006 consid. 3.1). 9.1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9.2 Le Tribunal fédéral a modifié sa pratique lors de l'examen du droit à une rente d'invalidité en cas de troubles psychiques (ATF 143 V 409 consid. 4.5 et ATF 143 V 418 consid. 6 et 7 du 30 novembre 2017).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en cas de troubles dépressifs de degré léger ou moyen (ATF 143 V 409 consid. 4.5.1). En effet, celles-ci ne peuvent en principe être déterminées ou prouvées sur la base de critères objectifs que de manière limitée (ATAS/945/2018 du 17 octobre 2018 consid. 6b).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Les indicateurs pertinents sont notamment l'expression des constatations et des symptômes, le recours aux thérapies, leur déroulement et leurs effets, les efforts de réadaptation professionnelle, les comorbidités, le développement et la structure</w:t>
      </w:r>
    </w:p>
    <w:p>
      <w:r>
        <w:t>A/4400/2019 - 9/20 - de la personnalité, le contexte social de la personne concernée ainsi que la survenance des restrictions alléguées dans les différents domaines de la vie (travail et loisirs; ATAS/676/2019 du 26 juillet 2019 consid. 10a).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10.1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10.2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10.3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w:t>
      </w:r>
    </w:p>
    <w:p>
      <w:r>
        <w:t>A/4400/2019 - 10/20 -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10.4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10.5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A/4400/2019 - 11/20 - ATF 125 V 193 consid. 2 et les références). Aussi n’existe-t-il pas, en droit des assurances sociales, un principe selon lequel l’administration ou le juge devrait statuer, dans le doute, en faveur de l’assuré (ATF 126 V 319 consid. 5a). 12. En l'espèce, il convient d’examiner si l’état de santé de la recourante s’est péjoré depuis le rejet de la demande de prestations par décision du 4 septembre 2006. Pour ce faire, il y a lieu de comparer les faits tels qu’ils se présentaient lors de cette décision à ceux prévalant au moment de la décision querellée du 24 octobre 2019. 12.1 En 2006, la recourante, qui souffrait, avec répercussion sur sa capacité de travail, d'un hémisyndrome moteur gauche prédominant au membre inférieur, était inapte à exercer son activité de serveuse depuis le 3 mars 2003, mais apte à travailler à plein temps dans une activité simple à prédominance sédentaire, par exemple en tant que réceptionniste-téléphoniste dans un EMS (rapport du Centre d'intégration professionnelle du 10 avril 2006). 12.2 À l'appui de la décision litigieuse, l'intimé s'est appuyé sur l'avis du SMR du 8 juillet 2019, lui-même basé sur les rapports des médecins traitants, ainsi que sur le rapport d'expertise psychiatrique du 25 juin 2019 des Drs D______ et E______. 12.2.1 Sur le plan somatique, le SMR retient, à titre de diagnostics ayant un effet sur la capacité de travail, outre celui de l'hémisyndrome moteur du membre inférieur gauche, ceux de lombalgies chroniques sur conflit L4 et de tendinopathie de l'épaule droite. Il considère que la recourante peut exercer à plein temps une activité adaptée sédentaire sans port de charges supérieures à 10 kg régulièrement, permettant l'alternance des positions, et évitant la marche prolongée et en terrain irrégulier, la station debout prolongée, la position en porte-à-faux du tronc, l'exposition aux vibrations, le travail avec les membres supérieurs au-dessus de l'horizontale des épaules, le port de charges de plus de 5 kg avec le membre supérieur droit, ainsi que le travail en hauteur. Sur le plan psychiatrique, le SMR conclut à l'absence de limitation fonctionnelle, et donc d'impact sur la capacité de travail. 12.2.2 Dans son ordonnance du 30 mars 2021, la chambre de céans a relevé que, sur le plan somatique, il était incontesté que la recourante présentait une incapacité de travail totale dans son activité habituelle de serveuse. En revanche, sa capacité de travail dans une activité adaptée n'était pas véritablement déterminée au vu des certificats d'incapacité de travail émis par l'orthopédiste traitant. Sur le plan psychiatrique, la chambre de céans a constaté que les conclusions des Drs D______ et E______ ne lui permettaient pas de trancher le droit aux prestations de la recourante. Ceux-ci étaient sortis du cadre de la mission qui leur avait été confiée en se prononçant sur la capacité de travail sur le plan somatique. De plus, dans la mesure où ils avaient souligné que les limitations fonctionnelles physiques avaient un grand impact sur la psychée de la recourante avec</w:t>
      </w:r>
    </w:p>
    <w:p>
      <w:r>
        <w:t>A/4400/2019 - 12/20 - répercussion sur sa capacité de travail, l'intimé ne pouvait, sans autre, conclure que celle-ci ne présentait aucune incapacité de travail sous l'angle psychique. Aussi la chambre de céans a-t-elle nié la valeur probante du rapport des Drs D______ et E______, décidé la mise sur pied d’une expertise psychiatrique et orthopédique (les deux volets paraissant imbriqués), puis mandaté pour ce faire les Drs G______ et F______. 12.3 Sur la forme, tant le rapport du Dr G______ du 21 octobre 2021 que celui du Dr F______ reçu par la chambre de céans le 11 novembre 2021 sont fondés sur l'examen de la recourante, une analyse du dossier, et comprennent une anamnèse, ainsi que les plaintes de celle-ci. 12.3.1 Sur le fond, sur le plan psychiatrique, le Dr G______, qui a diagnostiqué un trouble anxieux et dépressif mixte (F41.2), a conclu à une incapacité de travail totale dès août 2016 ‒ date à compter de laquelle le suivi psychiatrique avait débuté ‒, de 50 % à partir de l'expertise réalisée par les Drs D______ et E______ en juin 2019, et de 30 % depuis son examen effectué le 30 juin 2021. Cela étant, le Dr G______ n'a pas suffisamment motivé les raisons pour lesquelles il retient ces taux d'incapacité de travail, en particulier pour la période déterminante s'étendant jusqu'au prononcé de la décision litigieuse le 24 octobre 2019. Il se borne à mentionner qu'il admet, sur la base des pièces médicales et de l'anamnèse, que l'incapacité de travail était totale au début de suivi, et que la recourante était moins déprimée lors de l'expertise des Drs D______ et E______ qu'en 2016 vu la description clinique faite par ces psychiatres mais davantage qu'aujourd'hui (rapport du 21 octobre 2021, p. 15). Or, on attend d'un expert, qui a réfuté les diagnostics de trouble obsessionnel compulsif, de trouble bipolaire et de trouble de la personnalité (posés par la psychiatre traitante) et qui a constaté que le traitement médicamenteux avait consisté en une médication administrée uniquement pour les formes légères de dépression (p. 16), qu'il explique de manière circonstanciée en quoi l'atteinte psychique de la recourante ‒ dont le contexte social lui procurait des ressources mobilisables (p. 3; voir également rapport d'expertise du 25 juin 2019, p. 7-8) ‒ l'empêchait de mettre à profit sa capacité de travail. À cet égard, l'expert devait préciser les limitations fonctionnelles en découlant qui justifieraient, cas échéant, de retenir d'abord une incapacité de travail totale, puis de 50%. C'est le lieu de rappeler que les indicateurs appartenant à la catégorie « degré de gravité fonctionnel » forment le socle de base pour l’évaluation des troubles psychiques (ATF 141 V 281 consid. 4.3; arrêt du Tribunal fédéral 9C_618/2019 du 16 mars 2020 consid. 8.2). 12.3.2 Sur le plan somatique, le Dr F______ pose les diagnostics, avec effet sur la capacité de travail, d'hémiplégie prédominant au membre inférieur gauche d'origine congénitale; de lombalgie dans le cadre d'atteinte dégénérative avec canal lombaire étroit; et de tendinopathie bilatérale des coiffes des rotateurs avec atteinte dégénérative acromio-claviculaire. Observant que l'état de santé de la</w:t>
      </w:r>
    </w:p>
    <w:p>
      <w:r>
        <w:t>A/4400/2019 - 13/20 - recourante est resté stationnaire depuis 2010 sur le plan orthopédique, il estime que celle-ci pourrait exercer à 50% une activité adaptée assise permettant l'alternance des positions et évitant le port de charges ainsi que les mouvements répétitifs du membre supérieur. Ainsi que le relève le SMR dans son avis du 7 décembre 2021, le Dr F______ considère à tort que la situation orthopédique de la recourante est demeurée inchangée depuis 2010, puisque, au plus tôt, l'IRM lombaire du 28 octobre 2016 fait état d'une hernie L3-L4 créant un conflit sur la racine L4 droite, et ce n'est qu'en date du 28 février 2017 que l'orthopédiste traitant a évoqué une tendinite de la coiffe des rotateurs de l'épaule droite. Par ailleurs, le SMR conteste l'évaluation de la capacité de travail dans une activité adaptée à 50%, dans la mesure où l'examen clinique relevait des amplitudes articulaires conservées des deux épaules, l'absence de signes cliniques en faveur d'une irritation radiculaire des lombalgies, et la possibilité pour la recourante de marcher durant une heure sans douleurs dans les membres inférieurs écartait le diagnostic d'un canal lombaire étroit symptomatique. 12.3.3 Au vu de ce qui précède, la valeur probante des rapports d'expertise des Drs G______ et F______ ne peut qu'être questionnée. Ainsi, à défaut d’informations fiables et suffisantes sur les répercussions des diverses atteintes sur la capacité de travail de la recourante dans une activité adaptée, la chambre de céans n’est pas en mesure de procéder à une comparaison avec la situation prévalant au moment de la première décision de refus de prestations du 4 septembre 2006. Partant, elle ne peut pas se prononcer de manière définitive sur le degré d’invalidité de la recourante. 13. Il convient dès lors d'ordonner une nouvelle expertise orthopédique et psychiatrique, qui sera confiée aux docteurs I______, spécialiste FMH en chirurgie orthopédique et traumatologie de l'appareil locomoteur, et J______, spécialiste FMH en psychiatrie et psychothérapie, à l'endroit desquels les parties ont indiqué n'avoir pas de motif de récusation à faire valoir.</w:t>
      </w:r>
    </w:p>
    <w:p>
      <w:r>
        <w:t>A/4400/2019 - 14/20 - PAR CES MOTIFS, LA CHAMBRE DES ASSURANCES SOCIALES : Statuant préparatoirement I. Ordonne une expertise de Madame A______. Commet à ces fins la doctoresse I______, spécialiste FMH en chirurgie orthopédique et traumatologie de l'appareil locomoteur, et le docteur J______, spécialiste FMH en psychiatrie et psychothérapie. Dit que la mission d’expertise sera la suivante : A. Prendre connaissance du dossier de la cause. B. Si nécessaire, prendre tous renseignements auprès des médecins ayant traité la personne expertisée, en particulier les docteurs C______ et B______. C. Examiner et entendre la personne expertisée et si nécessaire, ordonner d’autres examens. D. Charge la Dresse I______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 4.5 L’état de santé de la personne expertisée s’est-il amélioré/détérioré depuis le 4 septembre 2006, date de la première décision de refus de prestations? 4.6 Dans quelle mesure les atteintes diagnostiquées limitent-elles les fonctions nécessaires à la gestion du quotidien ? (N’inclure que les</w:t>
      </w:r>
    </w:p>
    <w:p>
      <w:r>
        <w:t>A/4400/2019 - 15/20 - déficits fonctionnels émanant des observations qui ont été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w:t>
      </w:r>
    </w:p>
    <w:p>
      <w:r>
        <w:t>A/4400/2019 - 16/20 - 6.3.3 Dire s'il y a une diminution de rendement et la chiffrer. 6.4 Comment la capacité de travail de la personne expertisée a-t-elle évolué depuis le 4 septembre 2006? 6.5 Des mesures médicales sont-elles nécessaires préalablement à la reprise d’une activité lucrative ? Si oui, lesquelles ? 6.6 Quel est votre pronostic quant à l’exigibilité de la reprise d’une activité lucrative ? 7. Traitement 7.1 Examen du traitement suivi par la personne expertisée et analyse de son adéquation. 7.2 Réaliser un dosage sanguin des traitements psychotropes et antalgiques, afin d’évaluer la compliance et/ou la biodisponibilité. 7.3 Est-ce que la personne expertisée s’est engagée ou s’engage dans les traitements qui sont raisonnablement exigibles et possiblement efficaces dans son cas ou n’a-t-elle que peu ou pas de demande de soins ? 7.4 Propositions thérapeutiques et analyse de leurs effets sur la capacité de travail de la personne expertisée. 8. Appréciation d'avis médicaux du dossier 8.1 Êtes-vous d'accord avec l’avis des Drs D______ et E______ du 25 juin 2019 selon lequel les limitations fonctionnelles physiques de la personne expertisée ont un grand impact sur sa psychée avec répercussion sur la capacité de travail? Si non, pourquoi ? Si oui, dans quelle mesure ? 8.2 Êtes-vous d'accord avec l’avis du Dr F______ du « 26 avril 2021 » ? En particulier avec les diagnostics posés, les limitations fonctionnelles constatées et l’estimation d’une capacité de travail de 50 % dans une activité adaptée? Si non, pourquoi ? 8.3 Êtes-vous d'accord avec l’avis du Service médical régional de l'assurance-invalidité (SMR) des 8 juillet 2019 et 7 décembre 2021? En particulier avec les diagnostics posés, les limitations fonctionnelles constatées et l’estimation d’une capacité de travail de 100 % dans une activité adaptée? Si non, pourquoi ? 9. Quel est le pronostic ? 10. Des mesures de réadaptation professionnelle sont-elles envisageables ? 11. Faire toutes autres observations ou suggestions utiles</w:t>
      </w:r>
    </w:p>
    <w:p>
      <w:r>
        <w:t>A/4400/2019 - 17/20 - E. Invite l’expert à faire une appréciation consensuelle du cas avec le Dr J______, s’agissant de toutes les problématiques ayant des interférences entre elles, notamment l’appréciation de la capacité de travail résiduelle. F. Invite l’expert à déposer, dans les meilleurs délais, un rapport en trois exemplaires auprès de la chambre de céans. G. Charge le Dr J______,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amélioré/détérioré depuis le 4 septembre 2006, date de la première décision de refus de prestations?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w:t>
      </w:r>
    </w:p>
    <w:p>
      <w:r>
        <w:t>A/4400/2019 - 18/20 - 5. Limitations fonctionnelles 5.1. Indiquer les limitations fonctionnelles en relation avec chaque diagnostic 5.1.1 Dates d'apparition 5.2 Les plaintes sont-elles objectivées ?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w:t>
      </w:r>
    </w:p>
    <w:p>
      <w:r>
        <w:t>A/4400/2019 - 19/20 - a) psychique b) mental c) social et familial. En particulier, la personne expertisée peut-elle compter sur le soutien de ses proches ? 9.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Comment la capacité de travail de la personne expertisée a-t-elle évolué depuis le 4 septembre 2006? 9.5 Des mesures médicales sont-elles nécessaires préalablement à la reprise d’une activité lucrative ? Si oui, lesquelles ? 9.6 Quel est votre pronostic quant à l’exigibilité de la reprise d’une activité lucrative ? 10. Traitement 10.1 Examen du traitement suivi par la personne expertisée et analyse de son adéquation. 10.2 Est-ce que la personne expertisée s'est engagée ou s'engage dans les traitements qui sont raisonnablement exigibles et possiblement efficaces dans son cas ou n'a-t-elle que peu ou pas de demande de soins ? 10.3 En cas de refus ou mauvaise acceptation d’une thérapie, cette attitude doit-elle être attribuée à une incapacité de la personne expertisée à reconnaître sa maladie ?</w:t>
      </w:r>
    </w:p>
    <w:p>
      <w:r>
        <w:t>A/4400/2019 - 20/20 - 10.4 Propositions thérapeutiques et analyse de leurs effets sur la capacité de travail de la personne expertisée. 11. Appréciation d'avis médicaux du dossier 11.1 Êtes-vous d'accord avec le rapport des Drs D______ et E______ du 25 juin 2019 sur le plan strictement psychiatrique ? Si non, pourquoi? Partagez-vous leurs avis selon lequel les limitations fonctionnelles physiques de la personne expertisée ont un grand impact sur sa psychée avec répercussion sur la capacité de travail? Si non, pourquoi ? Si oui, dans quelle mesure ? 11.2 Êtes-vous d’accord avec l’avis du Dr G______ du 21 octobre 2021? En particulier avec les diagnostics posés, les limitations fonctionnelles constatées et l’estimation d’une capacité de travail de 0 % dès août 2016, de 50% dès juin 2019 et de 70% dès son examen ? Si non, pourquoi ? 12. Quel est le pronostic ? 13. Des mesures de réadaptation professionnelle sont-elles envisageables ? 14. Faire toutes autres observations ou suggestions utiles. H. Invite l’expert à faire une appréciation consensuelle du cas avec la Dresse I______ s’agissant de toutes les problématiques ayant des interférences entre elles, notamment l’appréciation de la capacité de travail résiduelle. I. Invite l’expert à déposer, dans les meilleurs délais, un rapport en trois exemplaires auprès de la chambre de céans. II. Réserve le fond ainsi que le sort des frais jusqu’à droit jugé au fond.</w:t>
      </w:r>
    </w:p>
    <w:p>
      <w:r>
        <w:t>La greffière</w:t>
      </w:r>
    </w:p>
    <w:p>
      <w:r>
        <w:t>Maryline GATTUSO</w:t>
      </w:r>
    </w:p>
    <w:p>
      <w:r>
        <w:t>La présidente</w:t>
      </w:r>
    </w:p>
    <w:p>
      <w:r>
        <w:t>Fabienne MICHON RIEBEN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