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ATAS/986/2019 vom 28. Oktober 2019</w:t>
      </w:r>
    </w:p>
    <w:p>
      <w:r>
        <w:t>GE Cour de justice, 2019-10-28, FR</w:t>
      </w:r>
    </w:p>
    <w:p>
      <w:r>
        <w:rPr>
          <w:b/>
        </w:rPr>
        <w:t xml:space="preserve">Quelle: </w:t>
      </w:r>
      <w:r>
        <w:t>https://mcp.opencaselaw.ch/entscheid/ge_gerichte_ATAS_986_2019</w:t>
      </w:r>
    </w:p>
    <w:p>
      <w:r>
        <w:t>FR: GE_GERICHTE ATAS/986/2019 du 28 octobre 2019</w:t>
      </w:r>
    </w:p>
    <w:p>
      <w:r>
        <w:t>IT: GE_GERICHTE ATAS/986/2019 del 28 ottobre 2019</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 singulièrement sur son statut.</w:t>
      </w:r>
    </w:p>
    <w:p>
      <w:r>
        <w:t>A/4247/2018 - 10/18 -</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w:t>
      </w:r>
    </w:p>
    <w:p>
      <w:r>
        <w:t>A/4247/2018 - 14/18 -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arrêt du Tribunal fédéral des assurances I 308/04 du 14 janvier 2005 consid. 6.2.1). d.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137 V 334 consid. 4.1).</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w:t>
      </w:r>
    </w:p>
    <w:p>
      <w:r>
        <w:t>A/4247/2018 - 11/18 -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8</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w:t>
      </w:r>
    </w:p>
    <w:p>
      <w:r>
        <w:t>A/4247/2018 - 12/18 - en additionnant les deux taux d’invalidité pondérés (cf. Ralph LEUENBERGER, Gisela MAURO, Changements dans la méthode mixte, in Sécurité sociale/CHSS n° 1/2018 p. 45).</w:t>
      </w:r>
    </w:p>
    <w:p>
      <w:r>
        <w:rPr>
          <w:b/>
        </w:rPr>
        <w:t>E. 9</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w:t>
      </w:r>
    </w:p>
    <w:p>
      <w:r>
        <w:rPr>
          <w:b/>
        </w:rPr>
        <w:t>E. 10</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w:t>
      </w:r>
    </w:p>
    <w:p>
      <w:r>
        <w:t>A/4247/2018 - 13/18 -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c. Pour satisfaire à l'obligation de réduire le dommage (voir ATF 129 V 463 consid.</w:t>
      </w:r>
    </w:p>
    <w:p>
      <w:r>
        <w:rPr>
          <w:b/>
        </w:rPr>
        <w:t>E. 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A/4247/2018 - 15/18 -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13</w:t>
      </w:r>
    </w:p>
    <w:p>
      <w:r>
        <w:t>a. En l’occurrence, l’OAI a diligenté une expertise pluridisciplinaire (médecine interne, psychiatrie, rhumatologie, et otoneurologie) dont les conclusions retiennent une capacité de travail de la recourante de 50 % depuis le 20 février 2013 dans l’activité habituelle d’aide parascolaire et dans toute activité adaptée. La recourante a indiqué, par l’intermédiaire de son avocat, lors de l’audience du 8 avril 2019, que les conclusions de l’expertise de la PMU étaient acceptées sous réserve d’une aggravation de sa dépression survenue après l’expertise de la PMU ; elle n’a toutefois produit aucune pièce médicale permettant d’attester une telle aggravation, de sorte qu’il convient de constater que les conclusions de l’expertise de la PMU, dont la valeur probante est admise par les parties, peuvent être confirmées. b. La recourante estime, finalement, que son statut est mixte, 50 % active et 50 % ménagère, alors que l’intimé retient un statut de ménagère. Selon l’anamnèse professionnelle effectuée par les experts de la PMU, la recourante, après son arrivée en Suisse, en 1992, a travaillé dans un cabaret puis dans la restauration comme responsable du buffet et serveuse, puis comme aide- soignante en EMS et comme accompagnatrice de personnes handicapées et animatrice parascolaire (expertise PMU p. 6). L’extrait du compte individuel de l’assurée du 8 août 2018, émis par la caisse, mentionne effectivement des revenus réalisés depuis 1992 pour divers employeurs, soit pour le dancing AB_____ en 1992, pour AC_____, Le Locle en 1992, pour AD_____, les Brenets en 1993, pour AE_____, à Montana-Vermala en 1993, pour AF______, à Grandval en 1993, pour AF_____ à Sion en 1993, pour N______ à Genève en 1994, pour AG______ à Genève en 1994 et 1995, pour AG_____ au</w:t>
      </w:r>
    </w:p>
    <w:p>
      <w:r>
        <w:t>A/4247/2018 - 16/18 - Petit-Lancy en 1996 et 1997, pour AH_____ en 1998 et 1999, pour AI_____ en 2000 et 2001, pour l’Etat de Genève en 2000 (EMS Q______) et pour le théâtre AJ_____ SA en 2009. En outre, la recourante a bénéficié d’indemnité de l’assurance-chômage en 1995 - 1996, 1997, 1998, 1999, 2000, 2001 et 2002. Elle a travaillé également en 2007 comme accompagnatrice et en 2010 comme aide aux cuisines scolaires. Selon la recourante, les activités exercées dès son arrivée en Suisse l’ont été à 100 % (procès-verbal d’audience du 8 avril 2019), ce qui n’est pas contesté par l’intimé et ce qui probable au vu des revenus portés sur son compte individuel auprès de la Caisse. Ensuite, soit après sa période de chômage, la recourante a travaillé comme employée de carrousel à 50 %, comme accompagnatrice quatre heures par jour et comme animatrice parascolaire à raison de trois heures par jour (douze heures par semaine). Elle a aussi effectué un stage, en 2008, à raison de trente-deux heures par semaine. S’agissant de la volonté hypothétique de la recourante, on constate que déjà dans le rapport d’entretien de détection précoce de l’OAI du 3 juillet 2012, la recourante a indiqué que, sans ses problèmes de santé, elle travaillerait. Elle a confirmé ce souhait lors de l’audience du 8 avril 2019. Par ailleurs, en 2006, la recourante a effectué plusieurs postulations, comme cela a également dû être le cas lors des périodes d’indemnisation de l’assurance-chômage, même si le dossier de l’assurée, vraisemblablement trop ancien, n’a pas pu être fourni par l’OCE. Elle a aussi postulé en 2011 à un poste de patrouilleuse scolaire / animatrice parascolaire. Enfin, les entretiens avec le CASS Avanchets mentionnent un souhait de la recourante de travailler dans le domaine de l’accompagnement / animation / aide à la cantine. Au vu des emplois assumés par la recourante, d’abord à 100 %, puis à temps partiel ainsi que de son souhait, documenté, de retravailler sans atteinte à la santé, il convient d’admettre qu’elle présente, comme elle le prétend, un statut mixte de personne active à 50 % et ménagère à 50 %.</w:t>
      </w:r>
    </w:p>
    <w:p>
      <w:r>
        <w:rPr>
          <w:b/>
        </w:rPr>
        <w:t>E. 14</w:t>
      </w:r>
    </w:p>
    <w:p>
      <w:r>
        <w:t>Il convient de calculer le degré d’invalidité de la recourante. Selon l’expertise de la PMU, l’activité d’animatrice parascolaire est adaptée et peut être exercée à 50 %. Dans ce cas, les revenus avant et après invalidité sont identiques, de sorte que le degré d’invalidité se confond avec la perte de gain. Il convient d’effectuer deux calculs, l’un en 2014 et l’autre, dès le 1er janvier 2018, en application de l’art. 27bis RAI, entré en vigueur le 1er janvier 2018. a. En février 2014, soit à l’issue du délai de carence d’une année (l’incapacité de travail de 50 % ayant débuté le 20 février 2013), le degré d’invalidité de la recourante dans la sphère lucrative est nul, dès lors que celle-ci est apte à travailler au taux de 50 % qu’elle exercerait sans atteinte à la santé. S’agissant de la sphère ménagère et compte tenu des limitations fonctionnelles retenues par le SMR (éviter</w:t>
      </w:r>
    </w:p>
    <w:p>
      <w:r>
        <w:t>A/4247/2018 - 17/18 - les environnements bruyants, éviter le stress, activité simple ne nécessitant pas de ressources attentionnelles importantes, sans travail en double tâche, sans organisation complexe du travail, éviter les échelles) et d’une capacité de travail de 50 % reconnue par les experts de la PMU, il convient d’admettre, à la suite de l’intimé, qu’une enquête économique sur le ménage n’est pas nécessaire, l’empêchement ménager éventuel qui en résulterait n’atteignant manifestement pas un degré suffisant pour donner droit à une rente d’invalidité. En effet, pour atteindre un degré d’invalidité d’au moins 40 %, la recourante devrait présenter un empêchement d’au moins 80 %, compte tenu de son statut mixte de 50 % active - 50 % ménagère. Or, la recourante peut fractionner, différer et adapter ses tâches ménagères, tout en sollicitant l’aide de son fils (hormis pendant le séjour de celui-ci à l’étranger, lequel a cependant été limité à une durée de huit mois - procès-verbal d’audience du 8 avril 2019); par ailleurs, il ressort de la description de sa vie quotidienne (expertise PMU p. 6) qu’elle fait du ménage, des commissions et à manger pour son fils et elle-même (note de travail OAI du 10 septembre 2018). Dans ces conditions, un empêchement de 80 % ne peut être atteint.</w:t>
      </w:r>
    </w:p>
    <w:p>
      <w:r>
        <w:t>b. Dès le 1er janvier 2018, le degré d’invalidité dans la sphère lucrative est calculé selon un revenu sans invalidité extrapolé à 100 % (art. 27bis RAI), de sorte que, compte tenu d’une incapacité de travail de 50 %, il est de 50 %.</w:t>
      </w:r>
    </w:p>
    <w:p>
      <w:r>
        <w:t>Appliqué au statut mixte de la recourante, le degré d’invalidité dans la sphère lucrative est de 25 %. S’agissant de l’empêchement ménager, les considérations émises ci-dessus restent valables pour la détermination du degré d’invalidité dès 2018, dès lors qu’un empêchement d’au moins 30 % devrait être présent pour que la recourante puisse se voir reconnaitre un degré d’invalidité d’au moins 40 %. Une enquête ménagère s’avère donc superflue.</w:t>
      </w:r>
    </w:p>
    <w:p>
      <w:r>
        <w:rPr>
          <w:b/>
        </w:rPr>
        <w:t>E. 15</w:t>
      </w:r>
    </w:p>
    <w:p>
      <w:r>
        <w:t>Au vu de ce qui précède, le recours ne peut qu’être rejeté, étant relevé que si la recourante estime que son état de santé s’est aggravé après la décision du 24 octobre 2018, elle peut déposer une demande de révision, en produisant des attestations médicales à même de prouver cette aggravation.</w:t>
      </w:r>
    </w:p>
    <w:p>
      <w:r>
        <w:rPr>
          <w:b/>
        </w:rPr>
        <w:t>E. 16</w:t>
      </w:r>
    </w:p>
    <w:p>
      <w:r>
        <w:t>Bien que la procédure ne soit pas gratuite en matière d'assurance-invalidité (art. 69 al. 1bis LAI), il convient de renoncer à la perception d'un émolument, la recourante étant au bénéfice de l'assistance juridique (art. 13 al. 1 du règlement sur les frais, émoluments et indemnités en procédure administrative du 30 juillet 1986 [RFPA - E 5 10.03]).</w:t>
      </w:r>
    </w:p>
    <w:p>
      <w:r>
        <w:t>A/4247/2018 - 18/18 -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