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ATAS/986/2017 vom 2. November 2017</w:t>
      </w:r>
    </w:p>
    <w:p>
      <w:r>
        <w:t>GE Cour de justice, 2017-11-02, FR</w:t>
      </w:r>
    </w:p>
    <w:p>
      <w:r>
        <w:rPr>
          <w:b/>
        </w:rPr>
        <w:t xml:space="preserve">Quelle: </w:t>
      </w:r>
      <w:r>
        <w:t>https://mcp.opencaselaw.ch/entscheid/ge_gerichte_ATAS_986_2017</w:t>
      </w:r>
    </w:p>
    <w:p>
      <w:r>
        <w:t>FR: GE_GERICHTE ATAS/986/2017 du 2 novembre 2017</w:t>
      </w:r>
    </w:p>
    <w:p>
      <w:r>
        <w:t>IT: GE_GERICHTE ATAS/986/2017 del 2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et 38 al. 4 let. c LPGA, compte tenu de la suspension des délais entre le 18 décembre et le 2 janvier inclusivement.</w:t>
      </w:r>
    </w:p>
    <w:p>
      <w:r>
        <w:t>A/128/2015 - 14/22 -</w:t>
      </w:r>
    </w:p>
    <w:p>
      <w:r>
        <w:rPr>
          <w:b/>
        </w:rPr>
        <w:t>E. 3</w:t>
      </w:r>
    </w:p>
    <w:p>
      <w:r>
        <w:t>Le litige porte sur le droit à une rente d'invalidité de la recourante au moment de la décision litigieuse du 27 novembre 2014.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Cela étant, l'état de santé de la recourante postérieur à novembre 2014 ne fait pas l'objet du litige.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 l’art. 29 al. 1 LAI, le droit à la rente prend naissance au plus tôt à l’échéance d’une période de six mois à compter de la date à laquelle l’assuré a fait valoir son droit aux prestations. Par ailleurs, l'assuré doit avoir présenté une</w:t>
      </w:r>
    </w:p>
    <w:p>
      <w:r>
        <w:t>A/128/2015 - 15/22 - incapacité de travail d'au moins 40% en moyenne durant une année sans interruption notable.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A/128/2015 - 16/22 -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10</w:t>
      </w:r>
    </w:p>
    <w:p>
      <w:r>
        <w:t>a. En l’occurrence, au niveau somatique, les médecins du SMR mentionnent en 2014 que la recourante se plaint de douleurs lombaires irradiant toute la colonne jusqu'à la nuque et de douleurs de la racine du membre inférieur gauche jusqu'au genou gauche. Les diagnostics retenus par le SMR sont des rachialgies diffuses dans le cadre de troubles statiques et dégénératifs du rachis avec status après fractures probablement ostéoporotiques de D7, D6 et L2, une coxarthrose bilatérale modérée à prédominance gauche, un syndrome rotulien bilatéral et une ostéoporose. La capacité de travail en tant qu’employée de maison est nulle, mais complète dans une activité strictement adaptée aux limitations fonctionnelles requises par la pathologie ostéo-articulaire, à savoir : nécessité de pouvoir alterner deux fois par heure la position assise et la position debout, absence de soulèvement ou de port régulier de charges d’un poids excédant 5 kg, absence de travail en porte-à-faux statique prolongé du tronc, absence d’exposition aux vibrations, de mouvements répétés de flexion-extension de la nuque, de rotations rapides de la tête et de position prolongée en flexion-extension de la nuque. Au niveau des membres inférieurs, l’assurée doit éviter la génuflexion répétée, le franchissement d’escabeaux ou d’échelles, le travail en hauteur, le franchissement régulier d’escaliers, la marche en terrain irrégulier et de plus d'une demi-heure, ainsi que la position debout. b. Les conclusions des médecins du SMR rejoignent celles de l'expertise du Dr F______, lequel retient également une incapacité de travail totale dans l'activité habituelle et une capacité de travail dans une activité légère sans port de charges et avec des possibilités de changements fréquents de position et des déplacements sur de courtes distances. c. Sur le plan neurologique, l'expert judiciaire P______ constate que les anomalies neuroradiologiques n'ont pas de traduction clinique objective et n'engendrent par conséquent aucune limitation fonctionnelle.</w:t>
      </w:r>
    </w:p>
    <w:p>
      <w:r>
        <w:rPr>
          <w:b/>
        </w:rPr>
        <w:t>E. 11</w:t>
      </w:r>
    </w:p>
    <w:p>
      <w:r>
        <w:t>Au niveau psychique, l’experte judiciaire pose les diagnostics d’état de stress post- traumatique, de modification durable de la personnalité après une expérience de catastrophe, de syndrome dépressif sévère et de syndrome douloureux somatoforme persistant. La capacité de travail est nulle. L’état de stress post-traumatique empêche la recourante de sortir seule, dès lors qu’elle éprouve une cohorte de symptômes neurovégétatifs qui l’obligent à rentrer chez elle. En principe, l’état de stress post-traumatique s’amende après un laps de temps variable, mais ce n’est pas le cas en l’occurrence.</w:t>
      </w:r>
    </w:p>
    <w:p>
      <w:r>
        <w:t>A/128/2015 - 17/22 - La modification durable de la personnalité après une expérience de catastrophe provoque une passivité et un émoussement sur le plan des émotions, une absence de réactivité et un désintérêt total. Elle fait suite à l’état de stress post-traumatique. Il est à noter à cet égard que cela est également mentionné par les deux filles de la recourante que l’experte a interrogées. Celles-ci décrivent leur mère avant l’accident comme une personne extrêmement dynamique, toujours à l’œuvre, maniaque de l’ordre sans avoir des obsessions ou rituels de lavage. Elle était très rapide et efficace. Facile à vivre, elle aidait notamment ses filles dans les tâches domestiques. Elle ne se plaignait jamais et était gaie. Tous les week-ends elle sortait et adorait aller au bal pour danser. Depuis l’accident, les symptômes de type douleurs semblent avoir pris une place prépondérante dans son existence. Selon ses filles, leur mère a serré les dents dans un premier temps, essayant de faire ses tâches quotidiennes et de retourner travailler chez son employeur, malgré les douleurs très importantes dans le dos. Dans une seconde période, jusqu’à actuellement, leur mère semble toutefois avoir complètement lâché prise. Son caractère s’est modifié, elle est devenue plus indifférente et plus passive, se plaint du matin au soir d’être inutile pour sa famille, ne se réjouit de rien et ne paraît éprouver aucun plaisir. Lorsqu’elle sort en ville, elle a un sentiment d’oppression avec tachycardie qui évolue en mal de tête, une tristesse et une envie de pleurer. Le bruit d’une sirène de police ou d’ambulance dans la rue l’oblige à rentrer chez elle, dès lors qu’elle se sent vite physiquement mal. Quant au syndrome dépressif sévère, l'experte judiciaire expose qu'il engendre une réduction de l’énergie, un désintérêt global, une fatigabilité, des troubles de l’attention, de la concentration et de la mémoire, ainsi que des perturbations du sommeil. Il est présent depuis plusieurs années. Certes, l’examen du SMR en 2014 évoque une amélioration des symptômes dépressifs. Cependant, cette possible amélioration n’a jamais permis de mettre de côté, même pour un laps de temps restreint, le diagnostic d’épisode dépressif, selon l'experte. L’examen clinique évoque plutôt une longue et inexorable aggravation des troubles dépressifs, malgré de nombreux efforts médicaux visant à éviter que la recourante ne devienne handicapée. b. La Dresse I______ ne retient aucun diagnostic sur le plan psychique dans ses conclusions suite à l'examen en avril/mai 2014. Elle décrit la recourante comme une femme fruste, équilibrée, sans moyens d’introspection, volontaire, combative de ses propres droits, avec de bonnes ressources d’adaptation au changement. Il est possible que la recourante ait pu développer une symptomatologie dépressive réactionnelle après son accident en 2012, mais cette symptomatologie s’est améliorée. La Dresse I______ ne retient pas le diagnostic de stress post- traumatique, en exposant que la recourante ne présente pas de flashbacks, de cauchemars répétitifs, d'anesthésie psychique, d'émoussement émotionnel, de détachement par rapport aux autres, d'insensibilité à l'environnement, d'anhédonie et d'évitement des activités ou des situations pouvant réveiller le souvenir du</w:t>
      </w:r>
    </w:p>
    <w:p>
      <w:r>
        <w:t>A/128/2015 - 18/22 - traumatisme. Il est à noter également que la recourante n'exprime aucune plainte au niveau psychique lors de cet examen. c. L'expertise de la Dresse R______ remplit en principe tous les critères jurisprudentiels pour lui reconnaître une pleine valeur probante. En effet, elle repose sur une connaissance complète du dossier médical, prend en considération les plaintes de la recourante, est fondée sur un examen clinique très soigneux et contient des conclusions cohérentes et bien motivées. d. Toutefois, même si le SMR ne met pas en cause les diagnostics retenus dans l’expertise de la Dresse R______ ni leur répercussion sur la capacité de travail, il estime que ceux-ci n’étaient pas présents au moment de la décision litigieuse en novembre 2014. Ce faisant, il se fonde sur son examen en avril et mai 2014. L'experte judiciaire ne se prononce pas sur l'évolution de la capacité de travail depuis l'examen du SMR en 2014, se contentant de répondre que l'évolution était défavorable depuis lors. En ce qui concerne l’état de stress post-traumatique, les médecins ont mis rapidement le syndrome douloureux, qui s'est vite déclaré après l'accident, en relation avec le traumatisme subi lors de cet évènement et ont dirigé la recourante vers un psychiatre, lequel lui a prescrit des antidépresseurs et prodigué une psychothérapie. Le diagnostic d'état de stress traumatique a été également émis par le Dr E______ dans son rapport du 4 mai 2013, lequel est mentionné dans l'expertise du Dr F______. Cependant, en dépit de cet état de stress post- traumatique, la recourante a encore pu travailler d'août 2012 en à avril 2013 à 50%, de surcroît dans une activité inadaptée à ses limitations fonctionnelles objectives. Quant à la modification durable de la personnalité, selon les filles de la recourante, celle-ci a fait dans un premier temps un grand effort pour surmonter les douleurs, lesquelles ne s’étaient pas notablement améliorées après l’accident, essayant d’accomplir les tâches quotidiennes et de retourner travailler chez son employeur. Dans une seconde période, la recourante semble avoir complètement lâché prise et son caractère s’est modifié. Sur le plan médical, un changement de caractère est signalé pour la première fois par la Dresse M______ dans son rapport du 20 mai 2015, soit après novembre 2014, dans lequel ce médecin fait état de ce que les proches décrivent un changement de caractère, dans le sens que la recourante est devenue plus passive, mais sans trouble de la mémoire ni de concentration. Concernant l'état dépressif sévère, il ne semble pas avoir été présent au moment de l’examen par le SMR. Un état dépressif est attesté pour la première fois par la Dresse L______, dans son rapport du 15 mai 2015. Certes, ce médecin considère que l'état dépressif existe très probablement depuis l'accident. Toutefois, son intensité devait alors être moindre, dès lors que la recourante a pu reprendre son travail à 50% en août 2012. Concernant le trouble somatoforme douloureux persistant, il ne fait pas de doute qu'il existait déjà au moment de la décision querellée. Il n'a cependant pas non plus</w:t>
      </w:r>
    </w:p>
    <w:p>
      <w:r>
        <w:t>A/128/2015 - 19/22 - empêché la recourante de reprendre son activité habituelle à 50% en août 2012. Il est vrai qu'en avril 2013, la recourante a dû l'arrêter. Cela n'est toutefois guère étonnant, s'agissant d'une activité qui n'était pas adaptée aux atteintes somatiques objectives de la recourante. En effet, selon les médecins, elle ne peut travailler que dans des activités légères en position assise avec alternance des positions deux fois par heure et présente une incapacité de travail totale comme femme de ménage. Enfin, de l'avis de la recourante elle-même, elle pouvait encore travailler dans une activité adaptée au moment de la décision en cause. En effet, dans son recours, elle n'a pas tout de suite conclu à l'octroi d'une rente, mais a requis dans un premier temps uniquement des mesures d'orientation professionnelle. Entendue devant la chambre de céans le 20 mai 2015, elle a déclaré que si on lui trouvait un travail adapté, elle le ferait. Cela étant, il sied de constater avec l'intimé que la recourante disposait encore d'une capacité de travail résiduelle dans une activité adaptée en novembre 2014.</w:t>
      </w:r>
    </w:p>
    <w:p>
      <w:r>
        <w:rPr>
          <w:b/>
        </w:rPr>
        <w:t>E. 12</w:t>
      </w:r>
    </w:p>
    <w:p>
      <w:r>
        <w:t>La recourante conteste cependant l'exigibilité d'un changement d'activité. Le caractère raisonnablement exigible d'une activité doit être évalué de manière objective. En application de ce principe, la jurisprudence admet très largement le caractère exigible d'une activité (Ulrich MEYER, Rechtsprechung des Bundesgerichts zum IVG, 2ème éd. 2010, p. 294 ss).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w:t>
      </w:r>
    </w:p>
    <w:p>
      <w:r>
        <w:t>A/128/2015 - 20/22 -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13</w:t>
      </w:r>
    </w:p>
    <w:p>
      <w:r>
        <w:t>En l'espèce, le Dr F______ admet dans son expertise du 22 août 2013 une capacité de travail dans une activité légère, sans port de charges, avec des possibilités de changements fréquents de position et des déplacements sur de courtes distances. La date de cette expertise doit être considérée comme moment déterminant pour examiner l'exigibilité de la reprise d'un travail dans une autre profession. A cette date, la recourante était âgée de 56 ans et donc encore loin de l'âge de la retraite. Par ailleurs, selon l'intimé, la recourante aurait pu travailler comme employée de conditionnement dans l'industrie légère et dans l'horlogerie, ainsi que comme contrôleuse en polissage dans l'horlogerie ou la bijouterie. Toutefois, les activités de surveillante de musée et de vente dans un petit kiosque, que l'intimé a mentionnées lors de l'audience du 20 mai 2015, doivent être écartées. En effet, la recourante étant analphabète, elles sont manifestement inadaptées. Les limitations fonctionnelles de la recourante étant compatibles avec certaines professions, du moins sur un marché de travail théorique, une capacité de travail à 100% dans une activité adaptée doit ainsi être admise.</w:t>
      </w:r>
    </w:p>
    <w:p>
      <w:r>
        <w:rPr>
          <w:b/>
        </w:rPr>
        <w:t>E. 14</w:t>
      </w:r>
    </w:p>
    <w:p>
      <w:r>
        <w:t>Il sied en outre de constater que la recourante a déposé sa demande de prestations en mars 2013, si bien que le droit à une rente aurait pu naître au plus tôt six mois après (art. 29 al. 1 LAI), soit en septembre 2013. A cette date, elle disposait déjà d'une capacité de travail à 100% dans une activité adaptée, selon l'expertise du Dr F______ du 22 août 2013 et l'examen du SMR en avril et mai 2014.</w:t>
      </w:r>
    </w:p>
    <w:p>
      <w:r>
        <w:t>A/128/2015 - 21/22 -</w:t>
      </w:r>
    </w:p>
    <w:p>
      <w:r>
        <w:rPr>
          <w:b/>
        </w:rPr>
        <w:t>E. 15</w:t>
      </w:r>
    </w:p>
    <w:p>
      <w:r>
        <w:t>La recourante devant changer d'activité professionnelle, il convient d'examiner si elle subit une perte de gain. Le calcul de l'intimé, selon lequel il n'y a aucune perte de gain, n'est pas contesté par la recourante. Il y a lieu d'ajouter que même si le calcul était effectué sur la base du même salaire à titre de revenu avec et sans invalidité, étant précisé que le salaire d'invalide retenu par l'intimé est supérieur au revenu de valide, la perte de gain resterait en-dessous de 40%, seul un taux d'abattement de 25% au maximum du salaire statistique pouvant être admise pour le revenu d'invalide (ATF 126 V 75 consid. 5b/aa-cc). Partant, le droit à une rente n'est pas ouvert au moment litigieux de la date de la décision dont est recours.</w:t>
      </w:r>
    </w:p>
    <w:p>
      <w:r>
        <w:rPr>
          <w:b/>
        </w:rPr>
        <w:t>E. 16</w:t>
      </w:r>
    </w:p>
    <w:p>
      <w:r>
        <w:t>Il ne fait toutefois pas de doute que l'état de santé de la recourante s'est aggravé. Selon l'expertise judiciaire psychiatrique, sa capacité de travail est aujourd'hui nulle. Cette aggravation est également documentée par les rapports des Dresses L______ et M______ de mai 2015. Cela étant, il y a lieu de renvoyer la cause à l'intimé pour statuer sur le droit à une rente postérieurement à novembre 2014, plus précisément dès l'aggravation des troubles psychiques.</w:t>
      </w:r>
    </w:p>
    <w:p>
      <w:r>
        <w:rPr>
          <w:b/>
        </w:rPr>
        <w:t>E. 17</w:t>
      </w:r>
    </w:p>
    <w:p>
      <w:r>
        <w:t>Cela étant, le recours sera rejeté et la cause renvoyée à l'intimé pour ouvrir une procédure de révision et nouvelle décision.</w:t>
      </w:r>
    </w:p>
    <w:p>
      <w:r>
        <w:rPr>
          <w:b/>
        </w:rPr>
        <w:t>E. 18</w:t>
      </w:r>
    </w:p>
    <w:p>
      <w:r>
        <w:t>Au vu de l’issue de la cause, la recourante sera condamnée à un émolument de justice de CHF 200.- (art. 69 al. 1bis LAI). ***</w:t>
      </w:r>
    </w:p>
    <w:p>
      <w:r>
        <w:t>A/128/2015 - 22/22 -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