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ATAS/986/2011 vom 19. Oktober 2011</w:t>
      </w:r>
    </w:p>
    <w:p>
      <w:r>
        <w:t>GE Cour de justice, 2011-10-19, FR</w:t>
      </w:r>
    </w:p>
    <w:p>
      <w:r>
        <w:rPr>
          <w:b/>
        </w:rPr>
        <w:t xml:space="preserve">Quelle: </w:t>
      </w:r>
      <w:r>
        <w:t>https://mcp.opencaselaw.ch/entscheid/ge_gerichte_ATAS_986_2011</w:t>
      </w:r>
    </w:p>
    <w:p>
      <w:r>
        <w:t>FR: GE_GERICHTE ATAS/986/2011 du 19 octobre 2011</w:t>
      </w:r>
    </w:p>
    <w:p>
      <w:r>
        <w:t>IT: GE_GERICHTE ATAS/986/2011 del 19 ottobre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129 V 1, consid. 1; ATF 127 V 467, consid. 1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w:t>
      </w:r>
    </w:p>
    <w:p>
      <w:r>
        <w:t>A/3042/2010 - 12/22 - précédentes dans l'assurance-invalidité telles que développées par la jurisprudence (ATF 130 V 343). En l'espèce, la décision litigieuse datant du 9 juillet 2010 est postérieure à l’entrée en vigueur de la LPGA et des modifications de la LAI relatives à la 4ème et à la 5ème révisions, entrées en vigueur respectivement en date des 1er janvier 2004 et 1er janvier 2008. Cependant, les faits pertinents remontent jusqu'en 2001. Par conséquent, du point de vue matériel, le droit éventuel à une rente d'invalidité doit être examiné au regard de l'ancien droit pour la période jusqu'au 31 décembre 2002 et, après le 1er janvier 2003, respectivement le 1er janvier 2004 et le 1er janvier 2008, en fonction des nouvelles normes de la LPGA et des modifications de la LAI consécutives à la 4ème et la 5ème révisions de cette loi, dans la mesure de leur pertinence (ATF 130 V 445 et les références; voir également ATF 130 V 329). En revanche, en ce qui concerne les règles de procédure, et à défaut de règles transitoires contraires, le nouveau droit s'applique sans réserve dès le jour de son entrée en vigueur (ATF 117 V 71 consid. 6b; 112 V 360 consid. 4a; RAMA 1998 KV 37 p. 316 consid. 3b).</w:t>
      </w:r>
    </w:p>
    <w:p>
      <w:r>
        <w:rPr>
          <w:b/>
        </w:rPr>
        <w:t>E. 3</w:t>
      </w:r>
    </w:p>
    <w:p>
      <w:r>
        <w:t>Les décisions sur opposition et celles contre lesquelles la voie de l’opposition n’est pas ouverte sont sujettes à recours dans le délai de 30 jours suivant leur notification (art. 56 al. 1 et 60 al. 1 LPGA). En l’espèce, la décision litigieuse a été reçue par la recourante en date du 13 juillet 2010. Le délai de recours a commencé à courir le 14 juillet 2010 et est parvenu à échéance le lundi 13 septembre 2010. En effet, selon l’art. 38 al. 4 LPGA applicable par analogie (cf. art. 60 al. 2 LPGA), les délais ne courent pas du 15 juillet au 15 août inclusivement. Le recours, déposé le 13 septembre 2010, a dès lors été interjeté en temps utile. Déposé par ailleurs en la forme requise, le recours est ainsi recevable (art. 89B loi sur la procédure administrative, du 12 septembre 1985 - LPA ; RS E 5 10).</w:t>
      </w:r>
    </w:p>
    <w:p>
      <w:r>
        <w:rPr>
          <w:b/>
        </w:rPr>
        <w:t>E. 4</w:t>
      </w:r>
    </w:p>
    <w:p>
      <w:r>
        <w:t>Le litige consiste à déterminer si c'est à bon droit que l'intimé a considéré que la recourante avait droit à une rente entière d'invalidité limitée dans le temps du 1er juin 2002 au 31 janvier 2005, puis à un quart de rente dès le 1er février 2005, singulièrement si à compter du 1er novembre 2004 la recourante a recouvré une capacité de travail de 60% dans une activité adaptée. La rente entière d'invalidité accordée à la recourante du 1er juin 2002 au 31 janvier 2005 n'est pas contestée, de sorte qu'elle pourra être maintenue. Il appartiendra en revanche à la Cour de céans de trancher la question de l'éventuel droit à la rente de la recourante à partir du 1er février 2005.</w:t>
      </w:r>
    </w:p>
    <w:p>
      <w:r>
        <w:rPr>
          <w:b/>
        </w:rPr>
        <w:t>E. 5</w:t>
      </w:r>
    </w:p>
    <w:p>
      <w:r>
        <w:t>Selon la jurisprudence, une décision par laquelle l'assurance-invalidité accorde une rente d'invalidité avec effet rétroactif et, en même temps, prévoit la réduction ou</w:t>
      </w:r>
    </w:p>
    <w:p>
      <w:r>
        <w:t>A/3042/2010 - 13/22 - l'augmentation de cette rente, correspond à une décision de révision au sens de l'art. 17 LPGA (ATF 125 V 417 ss.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t>A/3042/2010 - 14/22 - b)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w:t>
      </w:r>
    </w:p>
    <w:p>
      <w:r>
        <w:t>A/3042/2010 - 15/22 - pour quelles activités l'assuré est incapable de travailler. En outre, les données médicales constituent un élément utile pour déterminer quels travaux on peut encore, raisonnablement, exiger de l'assuré (ATF 115 V 134 consid. 2, 114 V 314 consid. 3c, 105 V 158 consid. 1 in fine).</w:t>
      </w:r>
    </w:p>
    <w:p>
      <w:r>
        <w:rPr>
          <w:b/>
        </w:rPr>
        <w:t>E. 8</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pour fonder sa décision, l'intimé s'est appuyé sur les conclusions de son service médical et du Dr W__________. Il a retenu que la recourante disposait d'une capacité de travail de 60% dans une activité adaptée dès le 1er novembre</w:t>
      </w:r>
    </w:p>
    <w:p>
      <w:r>
        <w:t>A/3042/2010 - 16/22 - 2004, sa capacité de travail demeurant toutefois nulle depuis l'accident dans son activité habituelle de nettoyeuse. La recourante a contesté le taux de 60% retenu par l'intimé à compter du 1er novembre 2004 et indiqué que, son état de santé n'étant pas encore stabilisé, elle n'avait pas recouvré de capacité de travail résiduelle dans une activité adaptée, laquelle ne pourrait en tout état de cause pas dépasser 50%.</w:t>
      </w:r>
    </w:p>
    <w:p>
      <w:r>
        <w:rPr>
          <w:b/>
        </w:rPr>
        <w:t>E. 11</w:t>
      </w:r>
    </w:p>
    <w:p>
      <w:r>
        <w:t>Le Dr W__________ a réalisé une expertise rhumatologique le 11 décembre 2008 à la demande de l'intimé. Au terme de son analyse, il est parvenu à la conclusion claire que la capacité de travail de la recourante était nulle depuis l'accident du 13 juin 2001 dans son activité professionnelle habituelle de nettoyeuse. Par contre, dans une activité adaptée respectant ses limitations fonctionnelles, la capacité de travail exigible était de 5 heures par jour avec une diminution de rendement de 10%. Interrogé par la Cour de céans sur la date à partir de laquelle cette capacité de travail était exigible, l'expert a mis en exergue la difficulté de se prononcer sur des capacités de travail passées hors des périodes opératoires, seul le chirurgien orthopédiste ayant vu la patiente étant capable de le faire. Il a néanmoins estimé que la recourante était apte à une reprise de travail dans une activité adaptée dès le printemps 2008. En effet, son état de santé s’était très vraisemblablement consolidé à cette période, dès lors qu’en décembre 2007, le Dr C__________, chirurgien orthopédiste, mentionnait un état stationnaire, mais sans consolidation, suite à l'opération du 3 octobre 2006. Selon l'expert, en décembre 2007 en tout cas, l’assurée ne pouvait dès lors pas être apte à la reprise du travail au vu du risque d’aggravation. Il n’y avait par contre plus d’historique médical au dossier par la suite, de sorte que la date à partir de laquelle une activité professionnelle était exigible se situait entre décembre 2007, date du rapport du Dr C__________, et décembre 2008, date de son rapport constatant la consolidation de l'état du genou de l'assurée. La Cour relève que lors de son expertise, le Dr W__________ a procédé à un examen complet et minutieux de l’état de santé de la recourante. Pour ce faire, l'expert s'est appuyé sur l’entier du dossier, notamment sur les rapports des médecins ayant examiné la patiente auparavant, de sorte qu’on ne peut que constater que son rapport se base sur un dossier bien étayé. Une anamnèse complète a été réalisée et le rapport d'une quinzaine de pages est circonstancié. L’état de santé de la recourante a fait l’objet d’examens approfondis, ses plaintes ont été prises en compte et le médecin a procédé à une discussion et une appréciation du cas détaillée. Selon les médecins du SMR , en particulier les Drs S__________ et A__________, la recourante présentait une incapacité totale de travail dans son activité habituelle depuis le 14 juin 2001, ce de façon permanente. En revanche, dans une activité adaptée de type sédentaire, en position assise tout en pouvant varier à sa guise les</w:t>
      </w:r>
    </w:p>
    <w:p>
      <w:r>
        <w:t>A/3042/2010 - 17/22 - positions, la capacité de travail était estimée à 60% depuis novembre 2004, soit un an après l'intervention sur le genou du 29 octobre 2003. Le Dr T__________, dans son rapport d’expertise du 12 septembre 2005, a indiqué que la capacité de travail était nulle dans une profession en permanence debout, telle que celle préalablement exercée.</w:t>
      </w:r>
    </w:p>
    <w:p>
      <w:r>
        <w:rPr>
          <w:b/>
        </w:rPr>
        <w:t>E. 12</w:t>
      </w:r>
    </w:p>
    <w:p>
      <w:r>
        <w:t>La Cour de céans relève qu'en définitive, les différents médecins s'accordent pour retenir une capacité de travail nulle dans l'activité habituelle de nettoyeuse dès l'accident, mais par la suite de l'ordre de 60% dans une activité adaptée aux limitations fonctionnelles. En effet, ainsi que l'intimé l'a relevé à juste titre, une capacité de travail de 5 heures par jour avec une diminution de rendement d'environ 10% équivaut à une capacité de travail de 60%. La recourante ne conteste du reste pas cette équivalence. En définitive, le seul point litigieux restant à trancher consiste donc à déterminer depuis quand la recourante dispose d'une capacité de travail résiduelle dans une activité adaptée à ses limitations fonctionnelles. A cet égard, la Cour de céans souligne que le 3 octobre 2006, la recourante a subi une quatrième opération du genou à la suite de laquelle le Dr U__________, dans son rapport médical du 16 mars 2007, a indiqué que l'intervention s'était compliquée par un retard de consolidation et que la situation de sa patiente n'était pas stabilisée. Le Dr T__________, dans son rapport d’expertise du 12 septembre 2005, avait d'ailleurs indiqué que le traitement médical de la recourante n'était pas terminé et qu'une nouvelle intervention serait nécessaire. Le Dr V__________, du SMR, a estimé dans un avis médical du 30 avril 2007 qu'on pouvait admettre une incapacité totale de travail depuis l'opération du 3 octobre 2006. Néanmoins, la situation médicale pouvant évoluer favorablement, un réexamen devrait être effectué à une année du postopératoire, c'est-à-dire en octobre 2007. Dans un rapport médical intermédiaire du 20 juin 2007, le Dr C__________ a indiqué que l'état de santé de l'assurée était stationnaire, cette dernière présentant une incapacité de travail totale depuis le 3 octobre 2006. Sa guérison était lente, sans consolidation, et une reprise chirurgicale pourrait éventuellement être effectuée dans deux mois.</w:t>
      </w:r>
    </w:p>
    <w:p>
      <w:r>
        <w:rPr>
          <w:b/>
        </w:rPr>
        <w:t>E. 13</w:t>
      </w:r>
    </w:p>
    <w:p>
      <w:r>
        <w:t>Au vu de ce qui précède, c'est à tort que l'intimé a retenu une capacité résiduelle de travail dans une activité adaptée depuis le mois de novembre 2004 déjà. Au contraire, il ressort des différents rapports médicaux que l'état de santé de la recourante n'était pas stabilisé à cette époque et qu'une nouvelle intervention chirurgicale s'est avérée nécessaire en 2006. Au regard des pièces du dossier et ainsi que l'a expliqué de manière convaincante l'expert, la date à partir de laquelle</w:t>
      </w:r>
    </w:p>
    <w:p>
      <w:r>
        <w:t>A/3042/2010 - 18/22 - une activité professionnelle adaptée est exigible de la part de la recourante se situe entre décembre 2007 (date du rapport du chirurgien orthopédiste mentionnant un état stationnaire mais sans consolidation suite à la dernière opération du genou) et décembre 2008 (date du rapport de l'expert mentionnant que la recourante se trouvait alors dans une phase consolidée). En définitive, la Cour de céans considère que la recourante présente une capacité de travail de 60% dans une activité adaptée depuis le printemps 2008. Au degré de la vraisemblance prépondérante, l'expert ne pouvant pas être plus précis, la Cour fixera au 1er avril 2008 le début de cette capacité résiduelle de travail. Il convient donc à ce stade de calculer le degré d'invalidité de la recourante à compter du 1er avril 2008.</w:t>
      </w:r>
    </w:p>
    <w:p>
      <w:r>
        <w:rPr>
          <w:b/>
        </w:rPr>
        <w:t>E. 14</w:t>
      </w:r>
    </w:p>
    <w:p>
      <w:r>
        <w:t>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w:t>
      </w:r>
    </w:p>
    <w:p>
      <w:r>
        <w:t>A/3042/2010 - 19/22 -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15</w:t>
      </w:r>
    </w:p>
    <w:p>
      <w:r>
        <w:t>Est déterminante en l'occurrence pour la comparaison des revenus et le calcul du degré d'invalidité l'année 2008, soit le moment à partir duquel la recourante présente une capacité de travail résiduelle de 60% dans une activité adaptée. Les revenus avec et sans invalidité doivent donc être déterminés par rapport à cette même année. En ce qui concerne tout d'abord le revenu sans invalidité de la recourante, c'est à tort que l'intimé s'est référé aux données salariales, telles qu'elles résultent des enquêtes sur la structure des salaires publiées par l'Office fédéral de la statistique, dès lors que ce revenu doit être évalué de manière aussi concrète que possible. Il résulte ainsi des pièces du dossier que la recourante aurait perçu en 2006 un revenu annuel total de 46'995 fr., correspondant à son revenu de nettoyeuse au sein de l'entreprise X_____________ SA. Après indexation à l'évolution des salaires (cf. Statistique de l'évolution des salaires/ Indice suisse des salaires, OFS, tableau T1.39, p. 31), le revenu sans invalidité s’élève à 48'730 fr. pour l’année 2008 (46'995 ÷ 2140 x 2219). Pour déterminer ensuite le revenu d'invalide de la recourante, il convient en l'absence d'un revenu effectivement réalisé de se référer aux données salariales, telles qu'elles résultent des enquêtes sur la structure des salaires publiées par l'Office fédéral de la statistique (ATF 126 V 75 consid. 3b/aa et bb p. 76). Contrairement à ce qu'allègue la recourante, c'est donc à juste titre que l'intimé s'y est référé. Il convient de préciser que la recourante n'a pas de qualification particulière et a exercé successivement les activités de nettoyeuse, manutentionnaire en blanchisserie et femme de chambre. Compte tenu de l'activité de substitution que pourrait exercer l'assurée dans une activité légère et adaptée, le salaire de référence est celui auquel peuvent prétendre les femmes effectuant des activités simples et répétitives (niveau de qualification 4) dans le secteur privé, soit en 2008, 4'116 fr. par mois ou 49'392 fr. annuellement (Enquête suisse sur la structure des salaires 2008, p. 11, TA1). Comme les salaires bruts standardisés tiennent compte d'un horaire de travail de quarante heures, soit une durée hebdomadaire inférieure à la moyenne usuelle dans les entreprises en 2008 (41,6 heures; la Vie économique, 7/8-2010, p. 90, B 9.2), ce montant doit être porté à 51'367 fr. 70. Conformément à la jurisprudence, il convient encore d'appliquer un facteur de réduction sur le salaire statistique qui tient compte de l'ensemble des circonstances personnelles et professionnelles du cas particulier (ATF 126 V 75</w:t>
      </w:r>
    </w:p>
    <w:p>
      <w:r>
        <w:t>A/3042/2010 - 20/22 - consid. 5 p. 78). Pour tenir compte notamment de l'âge de la recourante et du fait que seule une activité légère et à temps partiel serait possible vu les limitations fonctionnelles, l'intimé a procédé à une réduction supplémentaire de 15%, laquelle paraît tout à fait appropriée contrairement aux dires de la recourante (ATFA non publiés du 29 novembre 2006, I 848/05 consid. 5.3.3 et du 4 juin 2004, I 617/03 consid. 5.2). Son revenu avec invalidité s'élève donc en définitive à 43'662 fr. 55 soit, pour une activité exercée à un taux de 60%, à 26'197 fr. 50. Il résulte de ce qui précède qu'à compter du 1er avril 2008, date à partir de laquelle la recourante dispose d'une capacité de travail de 60% dans une activité adaptée, sa perte de gain s'élève à 22'532 fr. 50, ce qui correspond à un degré d'invalidité de 46,2%, ouvrant droit à un quart de rente d'invalidité.</w:t>
      </w:r>
    </w:p>
    <w:p>
      <w:r>
        <w:rPr>
          <w:b/>
        </w:rPr>
        <w:t>E. 16</w:t>
      </w:r>
    </w:p>
    <w:p>
      <w:r>
        <w:t>Dans la mesure où la décision de l'intimé - qui accorde une rente d'invalidité avec effet rétroactif et prévoit en même temps la réduction de cette rente - correspond à une décision de révision au sens de l'art. 17 LPGA, il convient d'appliquer l'art. 88a al. 1 RAI. Cette disposition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la recourante dispose d'une capacité de travail de 60% dans une activité adaptée dès le 1er avril 2008. Conformément à la disposition précitée, la rente entière allouée depuis le 1er juin 2002 ne peut pas être réduite avant le 30 juin 2008, de sorte que la recourante a droit à une rente entière d'invalidité du 1er juin 2002 au 30 juin 2008 et à un quart de rente dès le 1er juillet 2008.</w:t>
      </w:r>
    </w:p>
    <w:p>
      <w:r>
        <w:rPr>
          <w:b/>
        </w:rPr>
        <w:t>E. 17</w:t>
      </w:r>
    </w:p>
    <w:p>
      <w:r>
        <w:t>La Cour souligne encore que dans la décision litigieuse, l'intimé ne s'est pas prononcé sur le droit éventuel de la recourante à des mesures d'ordre professionnel. Or, la recourante est totalement absente du marché du travail depuis son licenciement en décembre 2001 et les seules activités dans lesquelles elle a de l'expérience, à savoir les activités de nettoyeuse, manutentionnaire en blanchisserie et femme de chambre, ne sont plus exigibles. Ainsi, en raison de la période non négligeable de désintégration professionnelle et de l'impossibilité pour l'assurée de faire appel à son expérience passée, les chances qu'elle a de réintégrer par ses propres moyens le marché du travail semblent particulièrement aléatoires. Il appartiendra donc à l'intimé, cas échéant, de prendre les mesures nécessaires de réintégration dans le circuit économique et d'examiner si des mesures professionnelles entrent en ligne de compte (ATF non publié du 31 janvier 2011, 9C_368/2010). Le fait que le Service de réadaptation de l'intimé ait mentionné des</w:t>
      </w:r>
    </w:p>
    <w:p>
      <w:r>
        <w:t>A/3042/2010 - 21/22 - activités adaptées aux limitations fonctionnelles ne nécessitant pas de qualification particulière (ouvrière à l'établi, employée de conditionnement léger, ouvrière de fabrication de petite mécanique, aide de laboratoire en salle blanche, etc.) n'y change rien.</w:t>
      </w:r>
    </w:p>
    <w:p>
      <w:r>
        <w:rPr>
          <w:b/>
        </w:rPr>
        <w:t>E. 18</w:t>
      </w:r>
    </w:p>
    <w:p>
      <w:r>
        <w:t>Compte tenu de ce qui précède, le recours doit être partiellement admis dans le sens des considérants et la décision de l'intimé du 9 juillet 2010 annulée.</w:t>
      </w:r>
    </w:p>
    <w:p>
      <w:r>
        <w:rPr>
          <w:b/>
        </w:rPr>
        <w:t>E. 19</w:t>
      </w:r>
    </w:p>
    <w:p>
      <w:r>
        <w:t>La recourante obtenant partiellement gain de cause, une indemnité de 3'000 fr. lui sera accordée à titre de participation à ses frais et dépens (art. 61 let. g LPGA).</w:t>
      </w:r>
    </w:p>
    <w:p>
      <w:r>
        <w:rPr>
          <w:b/>
        </w:rPr>
        <w:t>E. 20</w:t>
      </w:r>
    </w:p>
    <w:p>
      <w:r>
        <w:t>En vertu de l'art. 69 al. 1bis LAI, entré en vigueur le 1er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l'intimé au paiement d'un émolument de 500 fr.</w:t>
      </w:r>
    </w:p>
    <w:p>
      <w:r>
        <w:t>A/3042/2010 - 22/22 -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