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ATAS/986/2008 vom 8. September 2008</w:t>
      </w:r>
    </w:p>
    <w:p>
      <w:r>
        <w:t>GE Cour de justice, 2008-09-08, FR</w:t>
      </w:r>
    </w:p>
    <w:p>
      <w:r>
        <w:rPr>
          <w:b/>
        </w:rPr>
        <w:t xml:space="preserve">Quelle: </w:t>
      </w:r>
      <w:r>
        <w:t>https://mcp.opencaselaw.ch/entscheid/ge_gerichte_ATAS_986_2008</w:t>
      </w:r>
    </w:p>
    <w:p>
      <w:r>
        <w:t>FR: GE_GERICHTE ATAS/986/2008 du 8 septembre 2008</w:t>
      </w:r>
    </w:p>
    <w:p>
      <w:r>
        <w:t>IT: GE_GERICHTE ATAS/986/2008 del 8 settembre 2008</w:t>
      </w:r>
    </w:p>
    <w:p>
      <w:pPr>
        <w:pStyle w:val="Heading2"/>
      </w:pPr>
      <w:r>
        <w:t>Erwägungen</w:t>
      </w:r>
    </w:p>
    <w:p>
      <w:r>
        <w:rPr>
          <w:b/>
        </w:rPr>
        <w:t>E. 1</w:t>
      </w:r>
    </w:p>
    <w:p>
      <w:r>
        <w:t>a) La loi genevoise sur l’organisation judiciaire (LOJ) a été modifiée et a institué, dès le 1er août 2003, un Tribunal cantonal des assurances sociales statuant conformément à l'art. 56V al. 1 let. a ch. 2 LOJ en instance unique, sur les contestations prévues à l’art. 56 de la loi fédérale sur la partie générale du droit des assurances sociales du 6 octobre 2000 (LPGA) qui sont relatives à la loi sur l’assurance-invalidité du 19 juin 1959 (LAI). Sa compétence pour juger du cas d’espèce est ainsi établie. b) La loi fédérale sur la partie générale du droit des assurances sociales du 6 octobre 2000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Les règles de procédure quant à elles s'appliquent sans réserve dès le jour de son entrée en</w:t>
      </w:r>
    </w:p>
    <w:p>
      <w:r>
        <w:t>A/1326/2008 - 8/17 - vigueur (ATF 117 V 93 consid. 6b, 112 V 360 consid. 4a; RAMA 1998 KV 37 p. 316 consid. 3b). En l'espèce, la décision litigieuse se rapporte à une suppression de la rente dès 2008. La LPGA s’applique donc au cas d’espèce. Tel est également le cas des modifications de la LAI du 21 mars 2003 (4ème révision), entrées en vigueur le 1er janvier 2004 (RO 2003 3852), ainsi que des modifications de la LAI du 6 octobre 2006 (5ème révision de la LAI), entrées en vigueur le 1er janvier 2008.</w:t>
      </w:r>
    </w:p>
    <w:p>
      <w:r>
        <w:rPr>
          <w:b/>
        </w:rPr>
        <w:t>E. 2</w:t>
      </w:r>
    </w:p>
    <w:p>
      <w:r>
        <w:t>a) Le 1er juillet 2006, sont entrées en vigueur les nouvelles dispositions relatives aux mesures de simplification de la procédure dans l'assurance-invalidité, adoptées le 16 décembre 2005. Celles-ci ont eu, notamment, pour effet de remplacer la procédure de l'opposition par la procédure de préavis (art. 57a alinéa 1 LAI), en rétablissant ainsi la situation antérieure à l'introduction de la LPGA (cf. message du Conseil fédéral du 4 mai 2005, FF 2005, p. 2899 et ss). L'art. 69 al. 1 LAI, dans sa nouvelle teneur, prévoit que les décisions des offices AI cantonaux peuvent faire directement l'objet d'un recours devant le tribunal des assurances du canton de l'office qui a rendu la décision. b) En l'espèce, l'OCAI a communiqué à l'assurée un projet de décision en date du</w:t>
      </w:r>
    </w:p>
    <w:p>
      <w:r>
        <w:rPr>
          <w:b/>
        </w:rPr>
        <w:t>E. 4</w:t>
      </w:r>
    </w:p>
    <w:p>
      <w:r>
        <w:t>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(art. 6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Est réputée invalidité l’incapacité de gain totale ou partielle qui est présumée permanente ou de longue durée (art. 8 al. 1 LPGA).</w:t>
      </w:r>
    </w:p>
    <w:p>
      <w:r>
        <w:t>A/1326/2008 - 9/17 -</w:t>
      </w:r>
    </w:p>
    <w:p>
      <w:r>
        <w:rPr>
          <w:b/>
        </w:rPr>
        <w:t>E. 5</w:t>
      </w:r>
    </w:p>
    <w:p>
      <w:r>
        <w:t>Depuis l'entrée en vigueur, le 1er janvier 2004, de la novelle du 21 mars 2003 modifiant la LAI (4ème révision) et de celle du 6 octobre 2006 (5ème révision) la teneur de l'art. 28 al. 2 LAI, est la suivante : "la rente est échelonnée selon le taux d'invalidité : 40 % au moins un quart, 50 % au moins une demie, 60 % au moins trois-quarts, 70 % au moins rente entière". Selon la lettre f des dispositions finales de la modification du 21 mars 2003, les rentes entières en cours perçues au titre d'un taux d'invalidité égal ou supérieur à 662/3 % continuent d'être versées, après l'entrée en vigueur des nouvelles dispositions légales, à tous les rentiers qui, à ce moment là, ont atteint l'âge de 50 ans. Toutes les autres rentes entières perçues au titre d'une invalidité inférieure à 70 % font l'objet d'une révision dans le délai d'un an dès l'entrée en vigueur des nouvelles dispositions.</w:t>
      </w:r>
    </w:p>
    <w:p>
      <w:r>
        <w:rPr>
          <w:b/>
        </w:rPr>
        <w:t>E. 6</w:t>
      </w:r>
    </w:p>
    <w:p>
      <w:r>
        <w:t>Chez les assurés actifs,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130 V 348 consid. 3.4, 128 V 30 consid. 1, 104 V 136 consid. 2a et 2b; jusqu'au 31 décembre 2002 : art. 28 al. 2 LAI; du 1er janvier au 31 décembre 2003: art. 1 al. 1 LAI en corrélation avec l'art. 16 LPGA; depuis le 1er janvier 2004: art. 28 al. 2 LAI en corrélation avec l'art. 16 LPGA).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223 consid. 4.1, 128 V 174). Le revenu d'invalide doit être évalué avant tout en fonction de la situation professionnelle concrète de l'intéressé. En l'absence d'un revenu effectivement réalisé, il y a lieu de se référer aux données statistiques, telles qu'elles résultent des enquêtes sur la structure des salaires (ESS) de l'Office fédéral de la statistique (ATF 126 V 76 consid. 3b/aa et 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(cf. ATF 126 V 78 consid. 5).</w:t>
      </w:r>
    </w:p>
    <w:p>
      <w:r>
        <w:t>A/1326/2008 - 10/17 - Le revenu de la personne valide se détermine en établissant au degré de la vraisemblance prépondérante ce qu'elle aurait effectivement pu réaliser au moment déterminant si elle était en bonne santé (ATF 129 V 224 consid. 4.3.1 et la référence). Il doit être évalué de manière aussi concrète que possible si bien qu'il convient, en règle générale, de se référer au dernier salaire que l'assuré a obtenu avant l'atteinte à la santé, en tenant compte de l'évolution des salaires intervenue jusqu'au moment du prononcé de la décision. On ne saurait s'écarter d'un tel revenu pour le seul motif que l'assuré disposait, avant la survenance de son invalidité, de meilleures possibilités de gain que celles qu'il mettait en valeur et qui lui permettaient d'obtenir un revenu modeste (ATF 125 V 157 consid. 5c/bb et les arrêts cités); il convient toutefois de renoncer à s'y référer lorsqu'il ressort de l'ensemble des circonstances du cas que l'assuré, sans invalidité, ne se serait pas contenté d'une telle rémunération de manière durable (cf. AJP 2002 1487; RCC 1992 p. 96 consid. 4a).</w:t>
      </w:r>
    </w:p>
    <w:p>
      <w:r>
        <w:rPr>
          <w:b/>
        </w:rPr>
        <w:t>E. 7</w:t>
      </w:r>
    </w:p>
    <w:p>
      <w:r>
        <w:t>Selon l'art. 17 LPGA, si le taux d'invalidité du bénéficiaire de la rente subit une modification notable, la rente est, d'office ou sur demande, révisée pour l'avenir, à savoir augmentée ou réduite en conséquence, ou encore supprimée. Cela vaut également pour d'autres prestations durables accordées en vertu d'une décision entrée en force, lorsque l'état de fait déterminant se modifie notablement par la suite. Le point de savoir si un tel changement s'est produit doit être tranché en comparant les faits tels qu'ils se présentaient au moment de la décision initiale de rente et les circonstances régnant à l'époque de la décision litigieuse (ATF 130 V 351 consid. 3.5.2, 125 V 369 consid. 2 et la référence; voir également ATF 112 V 372 consid. 2b et 390 consid. 1b). Quand l'administration entre en matière sur la demande de révision, elle doit examiner l'affaire au fond, et vérifier que la modification du degré d'invalidité ou de l'impotence rendue plausible par l'assuré est réellement intervenue. Si elle constate que l'invalidité ou l'impotence ne s'est pas modifiée depuis la décision précédente, passée en force, elle rejette la demande. En cas de recours, le même devoir de contrôle quant au fond incombe au juge (voir ATF 117 V 198 consid. 3a et la référence). C'est ainsi que la tâche du médecin dans le cadre d'une révision de la rente d'invalidité consiste avant tout à établir l'existence ou non d'un changement significatif de l'état de santé de l'assuré, respectivement de sa capacité de travail, en comparant les faits tels qu'ils se présentaient au moment de la décision initiale avec la situation au moment de son examen (ATFA non publié du 12 juillet 2005, I 282/04, consid. 5.2 et 5.3).</w:t>
      </w:r>
    </w:p>
    <w:p>
      <w:r>
        <w:rPr>
          <w:b/>
        </w:rPr>
        <w:t>E. 8</w:t>
      </w:r>
    </w:p>
    <w:p>
      <w:r>
        <w:t>a) Selon l'art. 28 al. 2 LAI en corrélation avec les art. 7 et 16 LPGA, la réadaptation a la priorité sur la rente dont l'octroi n'entre en ligne de compte que si une réadaptation suffisante est impossible. Saisie d'une demande de rente ou appelée à</w:t>
      </w:r>
    </w:p>
    <w:p>
      <w:r>
        <w:t>A/1326/2008 - 11/17 - se prononcer à l'occasion d'une révision de celle-ci, l'administration doit donc examiner d'office, avant toute chose, la question de la réintégration de l'assuré dans le circuit économique (ATF 108 V 210, 99 V 48). A cet égard, les assurés invalides ou menacés d'une invalidité imminente ont droit aux mesures de réadaptation nécessaires qui sont de nature à rétablir, à maintenir ou à améliorer leur capacité de gain ou leur capacité d'accomplir leurs travaux habituels, qu'ils aient ou non exercé une activité lucrative préalable. Ce droit est déterminé en fonction de toute la durée d'activité probable (art. 8 al. 1 LAI). Celles-ci comprennent en particulier des mesures d'ordre professionnel (orientation professionnelle, formation professionnelle initiale, reclassement professionnel, service de placement) (art. 8 al. 3 let. b LAI). Le droit à une mesure de réadaptation déterminée de l'assurance- invalidité présuppose qu'elle soit appropriée au but de réadaptation poursuivi par l'assurance-invalidité, et cela tant objectivement en ce qui concerne la mesure que subjectivement en rapport avec la personne de l'assuré. En effet une mesure de réadaptation ne peut être efficace que si la personne à laquelle elle est destinée est susceptible, partiellement au moins, d'être réadaptée. Partant, si l'aptitude subjective de réadaptation de l'assuré fait défaut, l'administration peut refuser de mettre en oeuvre une mesure ou y mettre fin (arrêt I 370/98 du 26 août 1999, publié in VSI 2002 p. 111). En règle générale, l'assuré n'a droit qu'aux mesures nécessaires, propres à atteindre le but de réadaptation visé, mais non pas à celles qui seraient les meilleures dans son cas (ATF 124 V 110 consid. 2a et les références). Si les préférences de l'intéressé quant au choix du genre de reclassement doivent être prises en considération, elles ne sauraient jouer un rôle déterminant (arrêt I 397/87 du 15 janvier 1988, consid. 1 et la référence, publié in RCC 1988 p. 265; ATFA du</w:t>
      </w:r>
    </w:p>
    <w:p>
      <w:r>
        <w:rPr>
          <w:b/>
        </w:rPr>
        <w:t>E. 13</w:t>
      </w:r>
    </w:p>
    <w:p>
      <w:r>
        <w:t>juin 2007; cause I 552/2006). En particulier, le seuil minimum fixé par la jurisprudence pour ouvrir droit à une mesure de reclassement est une diminution de la capacité de gain de 20 % environ (ATF 124 V 110). b) Selon l'art. 21 al. 4 LPGA (voir également l'art. 7 al. 1 LAI), les prestations peuvent être réduites ou refusées temporairement ou définitivement si l'assuré se soustrait ou s'oppose, ou encore ne participe pas spontanément, dans les limites de ce qui peut être exigé de lui, à un traitement ou à une mesure de réinsertion professionnelle raisonnablement exigible et susceptible d'améliorer notablement sa capacité de travail ou d'offrir une nouvelle possibilité de gain. Une mise en demeure écrite l'avertissant des conséquences juridiques et lui impartissant un délai de réflexion convenable doit lui avoir été adressée. Les traitements et les mesures de réadaptation qui présentent un danger pour la vie ou pour la santé ne peuvent être exigés. Le sens et le but de la procédure de mise en demeure prescrite à l'art. 21 al. 4 LPGA est de rendre l'assuré attentif aux conséquences négatives possibles d'une attitude rénitente à collaborer, afin qu'il soit à même de prendre une décision en pleine connaissance de cause et, le cas échéant, de modifier sa conduite. Une telle procédure doit s'appliquer même lorsque l'assuré a manifesté de manière claire</w:t>
      </w:r>
    </w:p>
    <w:p>
      <w:r>
        <w:t>A/1326/2008 - 12/17 - et incontestable qu'il n'entendait pas participer à un traitement ou à une mesure de réadaptation (arrêt I 605/04 du 11 janvier 2005, consid. 2 et les références, publié in SVR 2005 IV n° 30 p. 113; voir également les arrêts I 265/05 du 3 octobre 2005, consid. 4, et I 485/04 du 16 décembre 2004, consid. 6.1). 9. a)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des assurances a posé des lignes directrices en ce qui concerne la manière d'apprécier certains types d'expertises ou de rapports médicaux (ATF 125 V 352 ss consid. 3). b)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353 consid. 3b/bb).</w:t>
      </w:r>
    </w:p>
    <w:p>
      <w:r>
        <w:t>A/1326/2008 - 13/17 - c) 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353 consid. 3b/ee, ATFA non publié du 13 mars 2000, I 592/99, consid. b/ee). d) Le juge ne s'écarte en principe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352 consid. 3b/aa et les références). e)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3b/bb et cc). En cas de divergence d'opinion entre médecins du SMR et médecins-traitants, la valeur des rapports médicaux des uns et des autres doit s'apprécier au regard des critères posés par la jurisprudence (ATF 125 V 351), sans qu'il ne soit nécessaire par exemple de mettre en œuvre une expertise (ATF du 8 mai 2008, 9C 227/07). f)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KIESER, Das Verwaltungsverfahren in der Sozialversicherung, p. 212, n° 450; KÖLZ/HÄNER, Verwaltungsverfahren und Verwaltungsrechtspflege des Bundes, 2e éd., p. 39, n° 111 et p. 117, n° 320; GYGI, Bundesverwaltungsrechtspflege, 2e</w:t>
      </w:r>
    </w:p>
    <w:p>
      <w:r>
        <w:t>A/1326/2008 - 14/17 - éd., p. 274; cf. aussi ATF 122 II 469 consid. 4a, 122 III 223 consid. 3c, 120 Ib 229 consid. 2b, 119 V 344 consid. 3c et la référence). Une telle manière de procéder ne viole pas le droit d'être entendu selon l'art. 29 al. 2 Cst. (SVR 2001 IV n° 10 p. 28 consid. 4b), la jurisprudence rendue sous l'empire de l'art. 4 aCst. étant toujours valable (ATF 124 V 94 consid. 4b, 122 V 162 consid. 1d et l'arrêt cité). 10. a) En l'espèce, le rapport d'examen psychiatrique du Dr E__________ du SMR du 19 juin 2007 sur lequel s'est fondé l'OCAI pour supprimer la rente d'invalidité de la recourante, n'emporte pas entièrement la conviction, en particulier au regard du témoignage du Dr B__________, et de l'avis du Dr A__________ du 1er septembre 2000. Tout d'abord, comme l'a relevé le Dr B__________, il existe dans le rapport du SMR une contradiction, d'une part, entre la négation de tout diagnostic psychiatrique avec répercussion sur la capacité de travail, soit la constatation qu'il n'existe aucune limitation invalidante sur le plan psychiatrique, ainsi que l'admission d'une capacité de travail entière de façon immédiate et, d'autre part, la description de la vie quotidienne de l'assurée - laquelle se réveille à 13h00, allume la télévision, reste au lit, lit des journaux, ne se lave pas et ne s'habille pas durant toute la journée et quitte uniquement parfois la maison pour aller chez le médecin et voir une cousine et une amie -, ainsi que le status psychiatrique qui relève que la thymie est labile, interrompue par des pleurs soudains à l'évocation de certains événements et l'appréciation du cas selon laquelle l'assurée montre une attitude parfois morose et une passivité dominante à l'égard de sa situation professionnelle, tout en disant que tout lui coûte, rien ne lui est agréable, et en décrivant une insomnie et une perte de confiance en elle-même. Au demeurant, la conclusion de ce rapport n'est particulièrement pas convaincante lorsque le Dr E__________ affirme, après avoir vu l'assurée à une reprise en mai 2007, que la capacité de travail de celle-ci a toujours été pleine et entière, soit également depuis 1999. A cet égard, l'audition de la recourante en audience le 30 juin 2008, ainsi que le témoignage de son psychiatre traitant ont permis de confirmer, contrairement à l'avis du Dr E__________, l'existence d'une incapacité de travail totale de la recourante depuis avril 1999 en tous les cas jusqu'en 2003, et donc le bien fondé de la décision de rente du 8 juin 2001, d'ailleurs non remise en cause par l'intimé. En effet, il ressort du témoignage du Dr B__________ qu'il y a eu des progrès perceptibles uniquement à partir de l'année 2003 et qu'auparavant la patiente présentait un retrait de la vie sociale et familiale, une énorme angoisse à affronter le monde du travail et une peur du rejet. Elle s'isolait dans une chambre, se négligeait et ne paraissait plus avoir d'intérêt pour le monde. Par ailleurs, le Dr A__________ a attesté le 1er septembre 2000 un état dépressif important entraînant une incapacité de travail totale depuis le 26 avril 1999.</w:t>
      </w:r>
    </w:p>
    <w:p>
      <w:r>
        <w:t>A/1326/2008 - 15/17 - En outre, le Dr B__________ a indiqué que l'affection de la recourante était caractérisée par une perte de l'estime de soi et de la confiance en soi, cause de l'incapacité de travail. Lors de l'examen au SMR, il est mentionné que la recourante décrit une perte de confiance en elle-même. Or, le Dr E__________ indique, dans la description de la situation de la recourante, qu'il n'a pas objectivé de diminution de l'estime de soi et de la confiance en soi alors même que ces symptômes sont toujours présents actuellement selon le Dr B__________, et cela nonobstant le fait que la situation s'est améliorée depuis 2003. De surcroît, ces symptômes font surtout partie de la définition de la dysthymie (F34.1) diagnostic posé par le Dr E__________ lui-même. Enfin, actuellement, le psychiatre traitant admet qu'il existe une capacité de travail mais uniquement à certaines conditions, soit moyennant un soutien de l'assurance- invalidité et une progression du taux de capacité. Le témoin a insisté sur le fait qu'un réentraînement au travail était nécessaire dans le cas de la recourante. b) Au vu de ce qui précède, il est à constater que l'état de santé de la recourante s'est amélioré depuis 2003, conformément à l'avis du psychiatre traitant, de sorte qu'en mai 2007, date de l'examen au SMR, le Dr E__________ a pu constater une capacité de travail. Cependant, au vu du témoignage du Dr B__________, précis et convaincant, et de l'audition de la recourante, il apparaît clairement qu'une capacité de travail immédiate de 100 % n'est pas exigible, en particulier compte tenu du fait que la recourante présente encore des symptômes de la dysthymie et que, au bénéfice d'une rente entière d'invalidité, elle n'a plus retravaillé depuis 1999, de sorte qu'un réentraînement au travail est nécessaire avant d'atteindre une éventuelle capacité pleine et entière. La progression de cette capacité de travail n'a cependant pas pu être précisée par le psychiatre traitant. 11. Il convient, dans ces conditions, d'annuler la décision de suppression de la rente d'invalidité de la recourante et de renvoyer la cause à l'intimé afin qu'il rende une nouvelle décision, après instruction complémentaire, pour déterminer avec précision la capacité de travail progressive de la recourante et ordonner une mesure visant un réentraînement au travail, que ce soit par le biais du service d'aide au placement ou par celui de l'octroi d'une mesure d'ordre professionnel. 12. En conséquence, le recours sera admis, la décision litigieuse annulée et la cause renvoyée à l'intimé pour nouvelle décision au sens des considérants. La loi fédérale du 16 décembre 2005 modifiant la loi fédérale sur l'assurance- invalidité est entrée en vigueur le 1er juillet 2006 (RO 2006 2003), apporte des modifications qui concernent notamment la procédure conduite devant le Tribunal cantonal des assurances (art. 52, 58 et 61 let. a LPGA). En particulier, la procédure de recours en matière de contestations portant sur l'octroi ou le refus de prestations de l'AI devant le Tribunal de céans est désormais soumise à des frais de justice, qui</w:t>
      </w:r>
    </w:p>
    <w:p>
      <w:r>
        <w:t>A/1326/2008 - 16/17 - doivent se situer entre 200 fr. et 1'000 fr. (art. 69 al. 1 bis LAI). En l'espèce, le présent cas est soumis au nouveau droit (ch. II let. c des dispositions transitoires relatives à la modification du 16 décembre 2005). Un émolument de 200 fr. sera ainsi mis à la charge de l'intimé (art. 69 al. 1bis LAI).</w:t>
      </w:r>
    </w:p>
    <w:p>
      <w:r>
        <w:t>A/1326/2008 - 17/17 -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