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ATAS/985/2021 vom 27. September 2021</w:t>
      </w:r>
    </w:p>
    <w:p>
      <w:r>
        <w:t>GE Cour de justice, 2021-09-27, FR</w:t>
      </w:r>
    </w:p>
    <w:p>
      <w:r>
        <w:rPr>
          <w:b/>
        </w:rPr>
        <w:t xml:space="preserve">Quelle: </w:t>
      </w:r>
      <w:r>
        <w:t>https://mcp.opencaselaw.ch/entscheid/ge_gerichte_ATAS_985_2021</w:t>
      </w:r>
    </w:p>
    <w:p>
      <w:r>
        <w:t>FR: GE_GERICHTE ATAS/985/2021 du 27 septembre 2021</w:t>
      </w:r>
    </w:p>
    <w:p>
      <w:r>
        <w:t>IT: GE_GERICHTE ATAS/985/2021 del 27 settembre 2021</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b. Dans sa réponse au recours, du 8 juin 2021, l'intimé a soulevé la question de la compétence de la chambre de céans : la décision litigieuse a été notifiée par l'OAI du canton de Neuchâtel et les voies de droit y indiquaient que l'autorité compétente en cas de recours était le Tribunal cantonal neuchâtelois. Pour sa part, la recourante, qui n'avait pas soulevé cette problématique dans son recours, a observé que quand bien même la décision sur le calcul de sa rente d'invalidité a été rendue par l'OAI neuchâtelois, celle-ci se fondait sur le projet de décision de l'OAI de Genève annexé à la décision (à titre de motivation), lequel indiquait qu'un recours pouvait être formulé auprès de la chambre de céans, et qu'en tout état, la recourante étant domiciliée dans le canton de Genève, la CJCAS est compétente pour statuer sur le recours. c. Selon l'art. 58 LPGA, le tribunal des assurances compétent est celui du canton du domicile de l'assuré ou d'une autre partie au moment du dépôt du recours. En l'espèce, il est constant que la recourante est domiciliée à Confignon/GE; elle y était déjà au moment du dépôt de sa demande de prestations, le 30 mars 2017, et elle n'en a pas changé depuis. Il ressort d'ailleurs de la banque de données de l'office cantonal de la population et des migrations (CALVIN), consultée le 8 septembre 2021, que l'assurée est arrivée à cette adresse le 15 janvier 2016 (sans interruption à ce jour). Elle était donc domiciliée dans ce canton au jour du dépôt du recours; en conséquence, la chambre de céans est le tribunal des assurances compétent au sens de l'art. 58 LPGA. d. Ceci dit, il est vrai qu'à la forme, la première partie de la décision entreprise semble insolite, puisqu'elle est rendue sur le papier en-tête de l'OAI neuchâtelois. Cela ne change toutefois rien à la compétence de la chambre de céans. Il s'agit</w:t>
      </w:r>
    </w:p>
    <w:p>
      <w:r>
        <w:t>A/1627/2021 - 20/36 - d'une simple inadvertance de la caisse de compensation neuchâteloise qui a rendu la décision pour le compte de l'OAI genevois, comme on le verra ci-après. La chambre de céans s'étonne que l'intimé ait cru bon de soulever la question de la compétence de la juridiction genevoise, suggérant que cette dernière ne serait pas compétente, du fait que la décision entreprise aurait été rendue par l'OAI de Neuchâtel, relevant que la voie de droit indiquée était celle du tribunal compétent neuchâtelois, sans autre développement. Certes, à la forme, on peut s'étonner que la décision entreprise, bien que rendue par l'OAI de Genève – qui ne le conteste d'ailleurs pas -, comme cela ressort de la motivation de la décision (intitulée « Projet d'acceptation de rente octroi d'une rente d'invalidité limitée dans le temps ») annexée à la première partie de la décision déterminant le montant des rentes, soit formellement rendue au nom de l'OAI de Neuchâtel. Celle-ci mentionne d'ailleurs qu'une copie de la décision (principalement adressée au conseil de l'assurée) était également adressée à cette dernière, à son adresse de Confignon, ainsi qu'à l'Hospice général de Genève. La raison de cette anomalie ressortait implicitement, sinon explicitement, du dossier même de l'OAI. Ainsi, l'intimé était en mesure d'y trouver l'explication. Plutôt que de soulever inutilement la question de la compétence de la CJCAS, il eut été mieux inspiré de simplement attirer au besoin l'attention de la chambre de céans sur le fait qu'en réalité, l'utilisation du papier en-tête de l'OAI neuchâtelois résultait d'une inadvertance, sans incidence sur la compétence de la juridiction genevoise. En effet, lorsque l'OAI a adressé son projet d'acceptation de rente, le 23 octobre 2020, au conseil de la recourante, il a, par courrier du même jour, demandé à la caisse cantonale genevoise de compensation (CCGC) de calculer la prestation en espèces, mais d'attendre la motivation de la décision avant d'effectuer les éventuelles compensations, et de notifier la décision (doc. 100 dossier OAI). Or, à réception, le 26 octobre 2020, d'un courriel de la CCGC l'informant qu'elle lui retournait le dossier de rente de l'assurée, en raison du fait que l'époux de cette dernière (ndr. : M. B______, qui, selon CALVIN, a quitté Genève pour le canton de Neuchâtel le 1er juillet 2019) percevait une rente d'invalidité de la part de la caisse 24 (caisse cantonale de compensation neuchâteloise - CCNC), selon extrait télézas3 annexé, et invitant dès lors l'office à transmettre les documents nécessaires à la caisse compétente, l'OAI a ré-adressé, le jour-même, à la CCNC, la demande de calcul de rente initialement adressée à la CCGC (doc 102 et 103 dossier OAI). Par la suite, le conseil de l'assurée ayant indiqué à l'OAI que sa mandante s'opposait au projet de décision, mais précisant toutefois que pour des raisons financières, l'assurée invitait l'OAI à rendre sa décision finale, qu'elle contesterait directement auprès de la chambre de céans, l'OAI a écrit un nouveau courrier à la CCNC, « afin de préparer le calcul de la prestation et de notifier la décision », en lui adressant (en guise de motivation) le texte même du projet de décision (du 23 octobre 2020), (doc. 109, dossier OAI). C'est ainsi que la caisse neuchâteloise, comme l'aurait fait la CCGC en pareille circonstance, a procédé au calcul des rentes et a édité la décision sur le</w:t>
      </w:r>
    </w:p>
    <w:p>
      <w:r>
        <w:t>A/1627/2021 - 21/36 - papier en-tête de l'OAI qu'elle avait à disposition (soit celui de l'OAI neuchâtelois au lieu de l'office genevois). Sur le fond, la procédure était pleinement conforme au droit (notamment art. 60 LAI, 44 du règlement du 17 janvier 1961 sur l’assurance- invalidité du 17 janvier 1961 [RAI - RS 831.201], par analogie, et art. 64a de la loi fédérale sur l’assurance-vieillesse et survivants du 20 décembre 1946 [LAVS - RS 831.10], 50g et ss du règlement sur l'assurance-vieillesse et survivants du 31 octobre 1947 [RAVS - RS 831.101]) : en substance, dans le cas d'assurés mariés, si, au moment de la survenance d'un cas d'assurance touchant l'assuré, son conjoint était déjà bénéficiaire d'une rente, il appartient à la caisse de compensation qui verse la première rente de procéder au calcul de la seconde, et de la verser au bénéficiaire. Au vu de ce qui précède, la compétence de la chambre de céans pour juger du cas d’espèce est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w:t>
      </w:r>
    </w:p>
    <w:p>
      <w:r>
        <w:rPr>
          <w:b/>
        </w:rPr>
        <w:t>E. 3</w:t>
      </w:r>
    </w:p>
    <w:p>
      <w:r>
        <w:t>Interjeté dans la forme et le délai prévus par la loi, compte tenu de la suspension des délais du 7ème jour avant Pâques au 7ème jour après Pâques inclusivement (art. 38 al. 4 let. a LPGA et art. 89C let. a de la loi sur la procédure administrative du 12 septembre 1985 [LPA - E 5 10]), le recours est recevable.</w:t>
      </w:r>
    </w:p>
    <w:p>
      <w:r>
        <w:rPr>
          <w:b/>
        </w:rPr>
        <w:t>E. 4</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w:t>
      </w:r>
    </w:p>
    <w:p>
      <w:r>
        <w:t>A/1627/2021 - 22/36 -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121 V 5 consid. 3b; 119 V 7 consid. 3c/bb; ATAS/286/2018 du 3 avril 2018 consid. 3; ATAS/763/2016 du 27 septembre 2016 consid. 4 et 5c).</w:t>
      </w:r>
    </w:p>
    <w:p>
      <w:r>
        <w:rPr>
          <w:b/>
        </w:rPr>
        <w:t>E. 5</w:t>
      </w:r>
    </w:p>
    <w:p>
      <w:r>
        <w:t>Le litige porte sur le droit de l'assurée à une rente de l'assurance-invalidité, et plus particulièrement sur le taux d'invalidité de la recourante, ayant une incidence sur la quotité de la rente.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A/1627/2021 - 23/36 -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L’art. 17 LPGA s’applique également à la décision par laquelle une rente échelonnée dans le temps est accordée avec effet rétroactif (arrêt du Tribunal fédéral 9C_244/2020 du 5 janvier 2021 consid. 4.3.1). De plus, les conditions de la révision au sens de l’art. 17 LPGA s’appliquent également par analogie dans le cas où la personne assurée présente une nouvelle demande de prestations de l’assurance-invalidité après qu’une demande antérieure a été rejetée (Margit MOSER-SZELESS in Commentaire romand LPGA, 2018, n. 10 ad art. 17 LPGA).</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t>A/1627/2021 - 24/36 -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et 141 V 281 consid. 2.2 et 3.2; arrêt du Tribunal fédéral 8C_841/2016 du 30 novembre 2017 consid. 4.5.2). b. Dans son arrêt de renvoi de la présente cause à l'OAI pour instruction complémentaire du 12 novembre 2019, la chambre de céans a rappelé que les principes jurisprudentiels développés en matière de troubles somatoformes douloureux, selon lesquels il y a lieu d'examiner la capacité de travail et la capacité fonctionnelle de la personne concernée dans le cadre d'une procédure structurée d'administration des preuves à l'aide d'indicateurs (ATF 141 V 281), étaient également applicables à d'autres pathologies, syndromes ou atteinte à la santé comme la fibromyalgie, le syndrome de fatigue chronique ou de neurasthénie, l'anesthésie dissociative et les atteintes sensorielles, l’hypersomnie, les troubles moteurs dissociatifs, les traumatismes du type « coup du lapin » et d’état de stress post-traumatique. En revanche, ils ne sont pas applicables par analogie à la fatigue liée au cancer [cancer-related Fatigue]. Elle a en outre observé que, dans sa jurisprudence récente (ATF 143 V 409 consid. 4.5 et ATF 143 V 418 consid. 6 et 7), le Tribunal fédéral avait modifié sa pratique lors de l'examen du droit à une rente d'invalidité en cas de troubles psychiques, pour lesquels l'examen de la CT et la capacité fonctionnelle de la personne concernée devait également se faire dans le cadre d'une procédure structurée d'administration des preuves à l'aide d'indicateurs, qui s'appliquait dorénavant à toutes les maladies psychiques, y compris troubles dépressifs de degré léger ou moyen (ATF 143 V 409 consid. 4.5.1) (pour les références jurisprudentielles détaillées : ATAS/1036/2019 consid.9). c. La CJCAS a en outre relevé que le Tribunal fédéral, qui considérait jusqu'ici qu'un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ne pouvait plus être maintenue : il était arrivé à la conclusion, dans un arrêt de principe du 11 juillet 2019 (arrêt du Tribunal fédéral 9C_724/2018), que d'un point de vue médical, les syndromes de dépendance et les troubles liés à la consommation de substances diagnostiqués lege artis par un spécialiste devaient désormais également être considérés comme des atteintes (psychiques) à la santé significatives au sens du droit de l’assurance-invalidité (consid. 5.3.3 et 6). Il s'agissait dès lors comme pour tous les autres troubles psychiques, de déterminer selon une grille d’évaluation normative et structurée (à cet égard, ATF 141 V 281) si, et le cas échéant, dans</w:t>
      </w:r>
    </w:p>
    <w:p>
      <w:r>
        <w:t>A/1627/2021 - 25/36 - quelle mesure, un syndrome de dépendance diagnostiqué par un spécialiste influençait dans le cas concret la capacité de travail de l’assuré. La gravité de la dépendance dans un cas particulier pouvait et devait être prise en compte dans la procédure de preuve structurée (consid. 6.3). Ceci était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s'appliquait également en cas de syndrome de dépendance, de sorte que l’assuré pouvait être tenu de participer activement à un traitement médical raisonnablement exigible (art. 7 al. 2 let. d LAI). S’il ne respectait pas son obligation de diminuer le dommage, mais qu’il maintenait délibérément son état pathologique, l’art. 7b al. 1 LAI en liaison avec l'art. 21 al. 4 LPGA permettrait le refus ou la réduction des prestations (consid 5.3.1) (pour les références jurisprudentielles détaillées : ATAS/1036/2019 consid. 10). d. Ainsi, dans le contexte décrit ci-dessus,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des potentiels de compensation (ressources)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A/1627/2021 - 26/36 -</w:t>
      </w:r>
    </w:p>
    <w:p>
      <w:r>
        <w:t>Les indicateurs appartenant à la catégorie « degré de gravité fonctionnel » forment le socle de base pour l’évaluation des troubles psychiques (ATF 141 V 281 consid. 4.3; arrêt du Tribunal fédéral 9C_618/2019 du 16 mars 2020 consid. 8.2).</w:t>
      </w:r>
    </w:p>
    <w:p>
      <w:r>
        <w:rPr>
          <w:b/>
        </w:rPr>
        <w:t>E. 9</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A/1627/2021 - 27/36 -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ATF 137 V 210 consid. 6; arrêts du Tribunal fédéral 9C_808/2019 du 18 août 2020 consid. 5.2. et 9C_109/2018 du 15 juin 2018 consid. 5.1).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A/1627/2021 - 28/36 -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w:t>
      </w:r>
    </w:p>
    <w:p>
      <w:r>
        <w:t>a. En l'espèce, on rappellera que la chambre de céans avait annulé la décision du</w:t>
      </w:r>
    </w:p>
    <w:p>
      <w:r>
        <w:rPr>
          <w:b/>
        </w:rPr>
        <w:t>E. 16</w:t>
      </w:r>
    </w:p>
    <w:p>
      <w:r>
        <w:t>Au vu de ce qui précède, le recours, entièrement mal fondé, doit être rejeté.</w:t>
      </w:r>
    </w:p>
    <w:p>
      <w:r>
        <w:rPr>
          <w:b/>
        </w:rPr>
        <w:t>E. 17</w:t>
      </w:r>
    </w:p>
    <w:p>
      <w:r>
        <w:t>Bien que la procédure ne soit pas gratuite, la recourante étant au bénéfice de l'assistance juridique, il ne sera pas perçu d'émolument.</w:t>
      </w:r>
    </w:p>
    <w:p>
      <w:r>
        <w:t>A/1627/2021 - 36/36 -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