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ATAS/985/2020 vom 22. Oktober 2020</w:t>
      </w:r>
    </w:p>
    <w:p>
      <w:r>
        <w:t>GE Cour de justice, 2020-10-22, FR</w:t>
      </w:r>
    </w:p>
    <w:p>
      <w:r>
        <w:rPr>
          <w:b/>
        </w:rPr>
        <w:t xml:space="preserve">Quelle: </w:t>
      </w:r>
      <w:r>
        <w:t>https://mcp.opencaselaw.ch/entscheid/ge_gerichte_ATAS_985_2020</w:t>
      </w:r>
    </w:p>
    <w:p>
      <w:r>
        <w:t>FR: GE_GERICHTE ATAS/985/2020 du 22 octobre 2020</w:t>
      </w:r>
    </w:p>
    <w:p>
      <w:r>
        <w:t>IT: GE_GERICHTE ATAS/985/2020 del 22 ottobre 2020</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 En l’occurrence, l’art. 36 des CGA prévoit que pour toutes les actions au sujet du contrat d’assurance, sont compétents au choix, soit les tribunaux du domicile suisse des personnes assurées, soit ceux du siège de l’assureur. Le défendeur ayant son domicile à Genève, la chambre de céans est compétente à raison du lieu pour connaître de la présente demande. Par ailleurs les conditions de recevabilité fixées par l’art. 59 LCA sont remplies.</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w:t>
      </w:r>
    </w:p>
    <w:p>
      <w:r>
        <w:t>A/1553/2020 - 5/8 -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5</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w:t>
      </w:r>
    </w:p>
    <w:p>
      <w:r>
        <w:t>A/1553/2020 - 6/8 - 271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L’art. 64 CO stipule, a contrario, que celui qui savait qu’il était tenu à restitution, ne peut pas alléguer qu’il n’est plus enrichi au moment de la répétition des montants indûment perçus.</w:t>
      </w:r>
    </w:p>
    <w:p>
      <w:r>
        <w:rPr>
          <w:b/>
        </w:rPr>
        <w:t>E. 6</w:t>
      </w:r>
    </w:p>
    <w:p>
      <w:r>
        <w:t>En l’espèce, le défendeur a immédiatement reconnu, lors de l’audience de comparution personnelle, devoir les montants réclamés par la demanderesse. Le défendeur n’ayant jamais réagi aux demandes de remboursement de la demanderesse et ayant immédiatement acquiescé au remboursement, lors de la comparution personnelle, la chambre de céans considère comme hautement vraisemblable que le défendeur savait qu’il ne pouvait pas à la fois percevoir des salaires de son employeur et des indemnités journalières de l’assurance, pour la</w:t>
      </w:r>
    </w:p>
    <w:p>
      <w:r>
        <w:t>A/1553/2020 - 7/8 - même période de temps et qu’il était donc tenu à restitution. Cet élément dispense la chambre d’examiner si, et dans quelle mesure, le défendeur était encore enrichi lorsque l’assurance a demandé la restitution des montants versés à tort pour les mois de juillet et août 2018. Pour le surplus, le défendeur a acquiescé au remboursement des montants réclamés par la demanderesse sans faire valoir aucune exception. La demanderesse n’a pas été en mesure de démontrer que la mise en demeure formelle datait du 17 décembre 2018. Les parties ont acquiescé à ce que le point de départ des intérêts moratoires soit fixé au 1er mai 2019, ce qui correspond au terme du délai de paiement fixé dans le courrier de mise en demeure de la demanderesse du 1er avril 2019. Compte tenu de cet acquiescement, la demande doit être acceptée et le défendeur condamné à payer à la demanderesse la somme de CHF 8'986.90 avec intérêts moratoires dès le 1er mai 2019. S’agissant des frais de rappel par CHF 30.- et d’encaissement par CHF 95.-, les démarches de la demanderesse ont consisté en deux courriers de rappel, une réquisition de poursuite et un courrier de demande de lever l’opposition. Compte tenu de ces éléments, les frais de rappel par CHF 30.- et d’encaissement par CHF 95.- doivent être également admis.</w:t>
      </w:r>
    </w:p>
    <w:p>
      <w:r>
        <w:rPr>
          <w:b/>
        </w:rPr>
        <w:t>E. 7</w:t>
      </w:r>
    </w:p>
    <w:p>
      <w:r>
        <w:t>La demande en paiement doit dès lors être admise, sous réserve de la date à partir de laquelle les intérêts moratoires à 5% commencent à courir, soit le 1er mai 2019.</w:t>
      </w:r>
    </w:p>
    <w:p>
      <w:r>
        <w:rPr>
          <w:b/>
        </w:rPr>
        <w:t>E. 8</w:t>
      </w:r>
    </w:p>
    <w:p>
      <w:r>
        <w:t>Il n'y a pas lieu à l'allocation de dépens en faveur de la demanderesse qui comparaît en personne, n’a pas demandé l’allocation de dépens et n'a pas exposé avoir engagé des frais pour les démarches effectuées (art. 95 al. 3 let. c CPC).</w:t>
      </w:r>
    </w:p>
    <w:p>
      <w:r>
        <w:rPr>
          <w:b/>
        </w:rPr>
        <w:t>E. 9</w:t>
      </w:r>
    </w:p>
    <w:p>
      <w:r>
        <w:t>Pour le surplus, la procédure est gratuite (art. 114 let. e CPC).</w:t>
      </w:r>
    </w:p>
    <w:p>
      <w:r>
        <w:t>***</w:t>
      </w:r>
    </w:p>
    <w:p>
      <w:r>
        <w:t>A/1553/2020 - 8/8 -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