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ATAS/985/2018 vom 30. Oktober 2018</w:t>
      </w:r>
    </w:p>
    <w:p>
      <w:r>
        <w:t>GE Cour de justice, 2018-10-30, FR</w:t>
      </w:r>
    </w:p>
    <w:p>
      <w:r>
        <w:rPr>
          <w:b/>
        </w:rPr>
        <w:t xml:space="preserve">Quelle: </w:t>
      </w:r>
      <w:r>
        <w:t>https://mcp.opencaselaw.ch/entscheid/ge_gerichte_ATAS_985_2018</w:t>
      </w:r>
    </w:p>
    <w:p>
      <w:r>
        <w:t>FR: GE_GERICHTE ATAS/985/2018 du 30 octobre 2018</w:t>
      </w:r>
    </w:p>
    <w:p>
      <w:r>
        <w:t>IT: GE_GERICHTE ATAS/985/2018 del 30 ottobre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(art. 1 LACI). Le recours a été interjeté en temps utile (art. 38 al. 4 let. c et 60 LPGA). Il satisfait aux exigences de forme et de contenu prévues par la loi (art. 61 let. a LPGA ; cf. aussi art. 89B de la loi sur la procédure administrative du 12 septembre 1985 - LPA - E 5 10). Étant partie à la procédure ayant abouti à la décision attaquée, touchée par cette dernière et ayant un intérêt digne de protection à son annulation ou sa modification, la recourante a qualité pour recourir (art. 59 LPGA).</w:t>
      </w:r>
    </w:p>
    <w:p>
      <w:r>
        <w:t>A/436/2018 - 5/10 -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b. En l’espèce, l’intimée a fondé la décision litigieuse sur la condition d’une perte de travail à prendre en considération, dont elle a nié la réalisation du fait que, pour la recourante, cette perte d’emploi était incontrôlable compte tenu de sa qualité de conjointe de l’administrateur avec signature individuelle au sein de la société dont elle avait été employée.</w:t>
      </w:r>
    </w:p>
    <w:p>
      <w:r>
        <w:rPr>
          <w:b/>
        </w:rPr>
        <w:t>E. 3</w:t>
      </w:r>
    </w:p>
    <w:p>
      <w:r>
        <w:t>a. Des indemnités de chômage ne peuvent être allouées qu’en cas de perte d’emploi, contrairement à l’indemnité en cas de réduction de l’horaire de travail, prévue par l’art. 7 al. 2 let. c LACI et régie par les art. 31 ss LACI, dont l’octroi suppose le maintien du rapport de travail quand bien même la durée normale du travail est réduite ou l’activité suspendue.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b et c LACI, à savoir pour « le conjoint de l’employeur, occupé dans l’entreprise de celui-ci » de</w:t>
      </w:r>
    </w:p>
    <w:p>
      <w:r>
        <w:t>A/436/2018 - 6/10 - même que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2bis LACI, que n’est pas réputé partiellement sans emploi celui qui, en raison d’une réduction passagère de l’horaire de travail, n’est pas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 ATAS/647/2016 du 23 août 2016 consid. 3 ; ATAS/630/2016 du 16 août 2016 consid. 3 ; ATAS/47/2013 du 23 janvier 2013 consid. 4).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w:t>
      </w:r>
    </w:p>
    <w:p>
      <w:r>
        <w:t>A/436/2018 - 7/10 -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w:t>
      </w:r>
    </w:p>
    <w:p>
      <w:r>
        <w:t>A/436/2018 - 8/10 -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Bien que cela ne soit pas pertinent en l’espèce, il sied de noter qu’une rupture définitive de tout lien avec l’entreprise continuant d’exister est aussi admise lorsque l’assuré a divorcé de la personne occupant une position dirigeante au sein de cette entreprise, mais qu’il ne suffit pas que les époux soient séparés de fait ou de droit ou que des mesures protectrices de l’union conjugale aient été ordonnées (ATF 142 V 263 ; arrêt du Tribunal fédéral 8C_574/2017 du 4 septembre 2018 consid. 5.2).</w:t>
      </w:r>
    </w:p>
    <w:p>
      <w:r>
        <w:rPr>
          <w:b/>
        </w:rPr>
        <w:t>E. 4</w:t>
      </w:r>
    </w:p>
    <w:p>
      <w:r>
        <w:t>a. En l’espèce, la recourante prétend au versement de l’indemnité de chômage sur la base de la perte de son emploi auprès de la société dont son conjoint est administrateur avec signature individuelle. Celui-ci doit être réputé ex lege disposer d’un pouvoir déterminant au sein de cette dernière. b. Ladite société n’a pas été dissoute et liquidée. La seule mise en gérance du restaurant dont elle avait acquis le fonds de commerce et le bail et qu’elle avait elle-même exploité directement n’implique pas qu’elle a cessé d’exister. Elle pourrait, au gré des circonstances, se remettre à exploiter directement cet établissement, ainsi qu’à développer de nouvelles activités, et, à cette fin, réengager la recourante. Elle a d’ailleurs un but social conçu largement, qui ne se limite pas à l’exploitation directe du restaurant. Elle reste au demeurant propriétaire du fonds de commerce et du mobilier de cet établissement mis en gérance. c. Les activités que la recourante a déployées entre janvier 2016 et juillet 2017 dans des restaurants d’école, parallèlement à son emploi à plein temps comme cheffe de cuisine dans cet établissement, n’impliquent nullement qu’elle avait rompu tout lien de façon définitive avec la société dirigée par son époux, ni, au demeurant, le fait que la société ayant recouru à ses services l’a par la suite, postérieurement à la date à partir de laquelle elle a requis l’indemnité de chômage,</w:t>
      </w:r>
    </w:p>
    <w:p>
      <w:r>
        <w:t>A/436/2018 - 9/10 - engagée comme cuisinière sur appel. La recourante n’a jamais travaillé que brièvement pour l’entreprise exploitant les restaurants scolaires considérés durant la période précitée (ch. B30-31 du Bulletin LACI IC). d. La recourante se trouve donc dans la situation dans laquelle l’art. 31 al. 1 let. c LACI doit s’appliquer par analogie. C’est à bon droit que l’intimé lui a refusé le droit à l’indemnité de chômage.</w:t>
      </w:r>
    </w:p>
    <w:p>
      <w:r>
        <w:rPr>
          <w:b/>
        </w:rPr>
        <w:t>E. 5</w:t>
      </w:r>
    </w:p>
    <w:p>
      <w:r>
        <w:t>Le recours doit être rejeté. La procédure est gratuite (art. 61 let. a LPGA). Vu l’issue donnée au recours, il n’y a pas matière à allouer une indemnité de procédure (art. 61 let. g LPGA). * * * * * *</w:t>
      </w:r>
    </w:p>
    <w:p>
      <w:r>
        <w:t>A/436/2018 - 10/10 -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