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ATAS/985/2017 vom 2. November 2017</w:t>
      </w:r>
    </w:p>
    <w:p>
      <w:r>
        <w:t>GE Cour de justice, 2017-11-02, FR</w:t>
      </w:r>
    </w:p>
    <w:p>
      <w:r>
        <w:rPr>
          <w:b/>
        </w:rPr>
        <w:t xml:space="preserve">Quelle: </w:t>
      </w:r>
      <w:r>
        <w:t>https://mcp.opencaselaw.ch/entscheid/ge_gerichte_ATAS_985_2017</w:t>
      </w:r>
    </w:p>
    <w:p>
      <w:r>
        <w:t>FR: GE_GERICHTE ATAS/985/2017 du 2 novembre 2017</w:t>
      </w:r>
    </w:p>
    <w:p>
      <w:r>
        <w:t>IT: GE_GERICHTE ATAS/985/2017 del 2 novembre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du recourant, à la date de la décision litigieuse du 6 mars 2017, à une rente d’invalidité au-delà de juillet 2016 et le droit aux mesures d'ordre professionnel.</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Selon la jurisprudence, l'art. 17 LPGA sur la révision d'une rente en cours s'applique également à la décision par laquelle une rente échelonnée dans le temps est accordée avec effet rétroactif -, la date de la modification étant déterminée conformément à l'art. 88a du règlement du 17 janvier 1961 sur l’assurance- invalidité du 17 janvier 1961 (RAI - RS 831.201; ATF 131 V 164 consid. 2.2 p. 165; 125 V 413 consid. 2d; arrêt du Tribunal fédéral 9C_134/2015 consid. 4.1 et les références).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Pour évaluer le taux d'invalidité, le revenu que l'assuré aurait pu obtenir s'il n'était pas invalide est comparé avec celui qu'il pourrait obtenir en exerçant l'activité qui</w:t>
      </w:r>
    </w:p>
    <w:p>
      <w:r>
        <w:t>A/1217/2017 - 8/12 -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 l’art. 29 al. 1 LAI, le droit à la rente prend naissance au plus tôt à l’échéance d’une période de six mois à compter de la date à laquelle l’assuré a fait valoir son droit aux prestations. Par ailleurs, l'assuré doit avoir présenté une incapacité de travail d'au moins 40% en moyenne durant une année sans interruption notable.</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w:t>
      </w:r>
    </w:p>
    <w:p>
      <w:r>
        <w:t>A/1217/2017 - 9/12 -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l’intimé s’est fondé sur le rapport du Dr C______ du 6 mai 2016 pour admettre une amélioration de l’état de santé dès cette date et le recouvrement d’une capacité de travail totale dans une activité adaptée. Toutefois, il a échappé au SMR que le recourant n’a plus consulté le Dr C______ depuis le 7 mai 2015 et que ce médecin s’est en fait prononcé sur la base du dernier examen médical à cette dernière date. Cela ressort également du fait qu’il s’est référé à une radiographie de contrôle post-opératoire à six mois, laquelle était parfaite. Ce faisant, ce chirurgien s’est référé manifestement à l’opération du 3 novembre 2014 et non pas à celle du 3 mars 2016 par le Dr E______. Partant, le Dr C______, qui ne suivait plus le recourant depuis une année à la date de son rapport de mai 2016, ne pouvait en réalité pas se prononcer sur l’état de santé de celui-ci. Il ressort au contraire du rapport du 13 mai 2016 du chirurgien qui a opéré le recourant en mars de la même année que celui-ci souffrait de douleurs et subissait une diminution du rendement. Par ailleurs, l’option d’une ostéotomie de valgisation était toujours prise en considération. Du rapport d’entretien du 17 juin 2016 entre la SUVA et le recourant résulte que les suites post-opératoires de la dernière intervention étaient marquées par des douleurs constantes et des limitations fonctionnelles de la jambe. L’intervention n’avait pas apporté le résultat que l’assuré espérait et la situation restait inchangée. L’ostéotomie envisagée était reportée pour la fin du mois d’août 2016. Cette intervention a finalement eu lieu le 15 décembre 2016. Selon le rapport du 30 mai 2017 du Dr E______, l’évolution de cette opération a été tout à fait favorable et il était prévu que le recourant soit réintégré à 100 % dans une activité professionnelle dès le 23 mai 2017, à condition qu’il s’agisse d’une activité dépourvue de positions statique et debout, de port de charges, de travail en terrain irrégulier, de montées et descentes d’échelles et d’échafaudages, ainsi que</w:t>
      </w:r>
    </w:p>
    <w:p>
      <w:r>
        <w:t>A/1217/2017 - 10/12 - d’escaliers itératives, ainsi que de la position accroupie et à genoux. Dans une activité sédentaire, il pourrait être envisageable à long terme qu’il travaille à 100 %. Les douleurs étaient la cause d’une diminution de rendement, mais il était actuellement trop tôt pour se prononcer sur le long terme, la situation étant encore précoce. Elle devrait se stabiliser aux environs d’une année après l’intervention chirurgicale. Dans son courrier du 14 juin 2017, le Dr D______ de la SUVA fait savoir à l’intimé qu’il partage l’avis du Dr E______. Récemment, soit du 4 juillet au 9 août 2017 et donc pendant plus d’un mois, le recourant a séjourné à la CRR. Il résulte de ce qui précède qu’à la date de la décision litigieuse du 6 mars 2017, l’état de santé du recourant n’était manifestement pas stabilisé, dès lors qu’il a fait l’objet encore d’une opération en date du 15 décembre 2016 et que, selon le chirurgien, une réadaptation professionnelle ne peut être envisagée qu’à partir du 23 mai 2017. De surcroît, le recourant a dû encore s’absenter pour un séjour de plusieurs semaines à la CRR en juillet-août 2017. Au demeurant, les médecins de cette clinique ont considéré que l’état n’était toujours pas stabilisé. Or, la reprise d'une activité professionnelle, du moins dans une nouvelle profession, présuppose une certaine stabilisation de l'état de santé, dès lors qu'il ne peut être imposé à un nouvel employeur de libérer son employé fréquemment pour des traitements médicaux. Les chances de se réinsérer dans le marché du travail paraissent ainsi nulles avant une certaine stabilisation (ATAS/784/2016 consid. 11 p. 13). Partant, il ne peut être considéré qu'il est exigible qu'un assuré reprenne une nouvelle activité professionnelle tant que des traitements, entraînant une incapacité de travail, et séjours hospitaliers sont en cours ou à prévoir à relative brève échéance. Cela étant, il convient de constater qu’à la date de la décision litigieuse, la capacité de travail du recourant, même dans une activité adaptée, était toujours nulle. Dès lors que l’objet du litige est limité par la date de cette décision, il n’y a pas lieu de se prononcer sur l’évolution de l’état de santé et de la capacité de travail par la suite. Ainsi, il n'était pas exigible que le recourant reprenne une activité adaptée dès mai 2016 ni au moment de la date de la décision querellée du 6 mars 2017, si bien qu'il appert que l'intimé a supprimé à tort la rente d'invalidité dès août 2016. Une amélioration notable avec une stabilisation suffisante ne pouvant être admise en mars 2017, le recourant a droit à une rente entière sans interruption dès septembre 2015. Il appartiendra évidemment à l’intimé de procéder cas échéant à une révision, dès qu'il estimera que l'état de santé du recourant s'est amélioré et qu'il est relativement stabilisé.</w:t>
      </w:r>
    </w:p>
    <w:p>
      <w:r>
        <w:t>A/1217/2017 - 11/12 -</w:t>
      </w:r>
    </w:p>
    <w:p>
      <w:r>
        <w:rPr>
          <w:b/>
        </w:rPr>
        <w:t>E. 12</w:t>
      </w:r>
    </w:p>
    <w:p>
      <w:r>
        <w:t>En ce qui concerne les mesures d’ordre professionnel, l’intimé est prêt à réexaminer cette question, si bien qu'il y a lieu de lui renvoyer la cause pour ce faire. Il est à cet égard à rappeler, qu’en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arrêt du Tribunal fédéral 9C_704/2010 du 31 janvier 2011 consid. 3.1 et les références).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arrêt du Tribunal fédéral 9C_262/2016 du 30 août 2016 consid. 5.2). Or, en l'occurrence, le recourant n'avait que 33 ans au moment de l'accident.</w:t>
      </w:r>
    </w:p>
    <w:p>
      <w:r>
        <w:rPr>
          <w:b/>
        </w:rPr>
        <w:t>E. 13</w:t>
      </w:r>
    </w:p>
    <w:p>
      <w:r>
        <w:t>Au vu de ce qui précède, le recours sera partiellement admis et la décision du 6 mars 2017 annulée. Le recourant sera par ailleurs mis au bénéfice d’une rente d’invalidité à compter du 1er septembre 2015. Pour le surplus, la cause sera renvoyée à l’intimé pour réexamen du droit aux mesures professionnelles et, ceci- fait, nouvelle décision.</w:t>
      </w:r>
    </w:p>
    <w:p>
      <w:r>
        <w:rPr>
          <w:b/>
        </w:rPr>
        <w:t>E. 14</w:t>
      </w:r>
    </w:p>
    <w:p>
      <w:r>
        <w:t>Dès lors que l’intimé succombe, l’émolument de justice, fixé à CHF 200.-, sera mis à sa charge. ***</w:t>
      </w:r>
    </w:p>
    <w:p>
      <w:r>
        <w:t>A/1217/2017 - 12/12 -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