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ATAS/985/2011 vom 20. Oktober 2011</w:t>
      </w:r>
    </w:p>
    <w:p>
      <w:r>
        <w:t>GE Cour de justice, 2011-10-20, FR</w:t>
      </w:r>
    </w:p>
    <w:p>
      <w:r>
        <w:rPr>
          <w:b/>
        </w:rPr>
        <w:t xml:space="preserve">Quelle: </w:t>
      </w:r>
      <w:r>
        <w:t>https://mcp.opencaselaw.ch/entscheid/ge_gerichte_ATAS_985_2011</w:t>
      </w:r>
    </w:p>
    <w:p>
      <w:r>
        <w:t>FR: GE_GERICHTE ATAS/985/2011 du 20 octobre 2011</w:t>
      </w:r>
    </w:p>
    <w:p>
      <w:r>
        <w:t>IT: GE_GERICHTE ATAS/985/2011 del 20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</w:t>
      </w:r>
    </w:p>
    <w:p>
      <w:r>
        <w:t>A/1710/2011 - 3/5 - fédérale sur l'assurance-vieillesse et survivants, du 20 décembre 1946 (LAVS; RS 831.10). Sa compétence pour juger du cas d’espèce est ainsi établie. Formé dans le délai et la forme prescrits, le recours est recevable (art. 60 et 61 let. b LPGA).</w:t>
      </w:r>
    </w:p>
    <w:p>
      <w:r>
        <w:rPr>
          <w:b/>
        </w:rPr>
        <w:t>E. 2</w:t>
      </w:r>
    </w:p>
    <w:p>
      <w:r>
        <w:t>La procédure étant gratuite, il n'est pas perçu de frais. * * *</w:t>
      </w:r>
    </w:p>
    <w:p>
      <w:r>
        <w:t>A/1710/2011 - 5/5 -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