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ATAS/984/2023 vom 14. Dezember 2023</w:t>
      </w:r>
    </w:p>
    <w:p>
      <w:r>
        <w:t>GE Cour de justice, 2023-12-14, FR</w:t>
      </w:r>
    </w:p>
    <w:p>
      <w:r>
        <w:rPr>
          <w:b/>
        </w:rPr>
        <w:t xml:space="preserve">Quelle: </w:t>
      </w:r>
      <w:r>
        <w:t>https://mcp.opencaselaw.ch/entscheid/ge_gerichte_ATAS_984_2023</w:t>
      </w:r>
    </w:p>
    <w:p>
      <w:r>
        <w:t>FR: GE_GERICHTE ATAS/984/2023 du 14 décembre 2023</w:t>
      </w:r>
    </w:p>
    <w:p>
      <w:r>
        <w:t>IT: GE_GERICHTE ATAS/984/2023 del 14 dicembre 2023</w:t>
      </w:r>
    </w:p>
    <w:p>
      <w:pPr>
        <w:pStyle w:val="Heading2"/>
      </w:pPr>
      <w:r>
        <w:t>Erwägungen</w:t>
      </w:r>
    </w:p>
    <w:p>
      <w:r>
        <w:rPr>
          <w:b/>
        </w:rPr>
        <w:t>E. 30</w:t>
      </w:r>
    </w:p>
    <w:p>
      <w:r>
        <w:t>octobre 2022, un rapport du service médical régional de l’assurance-invalidité (ci-après : le SMR) du 21 février 2023, les recommandations pour le bilan de médecine d’assurance d’une affection post-Covid 19 en Suisse, 2e version, datée du 31 juillet 2023, ainsi qu’un article intitulé « La simulation des troubles cognitifs : aspects conceptuels et méthodologiques », publié en 2014. Se fondant sur ces pièces, la recourante a persisté dans ses précédentes conclusions. f. Sur ce, la cause a été gardée à juger, ce dont les parties ont été informées. g. Les autres faits seront mentionnés, en tant que de besoin, dans la partie « en droit » du présent arrêt. EN DROIT</w:t>
      </w:r>
    </w:p>
    <w:p>
      <w:r>
        <w:t>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 3. Le délai de recours est de 30 jours (art. 56 LPGA ;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 4.</w:t>
      </w:r>
    </w:p>
    <w:p>
      <w:r>
        <w:t>4.1 En procédure juridictionnelle administrative, ne peuvent en principe être examinés et jugés que les rapports juridiques à propos desquels l'autorité administrative compétente s'est prononcée préalablement d'une manière qui la lie</w:t>
      </w:r>
    </w:p>
    <w:p>
      <w:r>
        <w:t>A/1404/2023 - 6/21 -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4.2 En l’espèce, la décision sur opposition querellée porte uniquement sur la question de la causalité naturelle entre les symptômes encore présentés par la recourante et la maladie professionnelle initiale (Covid-19). En l’absence de décision sur le droit à une rente en tant que tel, les conclusions de la recourante dans ce sens sont irrecevables. Au vu de ce qui précède, le litige ne peut que porter sur la question du lien de causalité et, partant, sur la suppression des prestations (indemnités journalières et traitement) de l’intimée à compter du 31 mars 2022. Certes, le recours ne comporte aucune conclusion expresse dans ce sens. Cela étant, le fait de conclure à l’octroi d’une rente le sous-entend. 5.</w:t>
      </w:r>
    </w:p>
    <w:p>
      <w:r>
        <w:t>5.1 Aux termes de l'art. 6 al. 1 LAA, et sous réserve de dispositions spéciales de la loi, les prestations d'assurance sont allouées en cas d'accident professionnel, d'accident non professionnel et de maladie professionnelle.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(cf. art. 9 al. 1 LAA). Aux termes de l’art. 14 de l’ordonnance sur l’assurance-accidents du 20 décembre 1982 (OLAA – RS 832.202), les substances nocives et les maladies dues à certains travaux au sens de l’art. 9 al. 1 LAA sont énumérées à l’annexe 1. Selon l’al. 2 let. b de cette annexe 1, sont notamment réputées affections dues à certains travaux au sens de l’art. 9, al. 1, de la loi notamment les maladies infectieuses pour autant qu’elles aient été contractées lors de travaux dans des hôpitaux, des laboratoires, des instituts de recherches et établissements analogues. Selon la jurisprudence, l'exigence d'une relation prépondérante requise par l'art. 9 al. 1 LAA est réalisée lorsque la maladie est due pour plus de 50 %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119 V 200 consid. 2a ; arrêt du Tribunal fédéral 8C_306/2014 du 27 mars 2015 consid. 3).</w:t>
      </w:r>
    </w:p>
    <w:p>
      <w:r>
        <w:t>A/1404/2023 - 7/21 - Par ailleurs,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art. 9 al. 3 LAA). 5.2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5.2.1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w:t>
      </w:r>
    </w:p>
    <w:p>
      <w:r>
        <w:t>A/1404/2023 - 8/21 -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 5.2.2 Selon la jurisprudence, un fait est la cause adéquate d'un résultat si, d'après le cours ordinaire des choses et l'expérience générale de la vie, ce fait était propre à entraîner un résultat du genre de celui qui s'est produit, la survenance de celui-ci paraissant ainsi de façon générale favorisée (ATF 129 V 177 consid. 3.2, ATF 125 V 456 consid. 5a ; SVR 2010 UV n° 30 consid. 5.2). L'exigence d'un rapport de causalité adéquate entre l'accident assuré et l'atteinte à la santé qui s'en est suivie, en tant que condition du droit aux prestations de l'assurance-accidents, vise à limiter la responsabilité de cette dernière (ATF 129 V 177 consid. 3.3, ATF 125 V 456 consid. 5c ; SVR 2017 UV n° 8 consid. 3.3). La question de savoir comment il y a lieu d'appréhender l'émergence d'une atteinte psychique en relation avec une maladie professionnelle (de nature somatique) doit être résolue selon le critère de la causalité adéquate. Selon le Tribunal fédéral (voir notamment ATF 125 V 456 consid. 5 ou arrêt du Tribunal fédéral 8C_154/2010 du 16 août 2010 consid. 3.3), la jurisprudence relative à la causalité adéquate en cas d'atteinte psychique consécutive à des accidents (ATF 115 V 133, accident présentant objectivement une certaine gravité ou entrant sérieusement en ligne de compte dans la survenance des troubles psychiques) n'est pas applicable par analogie à l'examen de la survenance de troubles psychiques en lien (éventuel) avec des maladies professionnelles. Dans cette dernière éventualité s'applique la définition générale de la causalité adéquate, à savoir qu'il faut examiner si, d'après le cours ordinaire des choses et l'expérience de la vie, appréciés en fonction de la diversité des assurés pour lesquels l'assurance-accidents doit offrir sa protection, la maladie professionnelle, dans sa spécificité, était propre à entraîner des troubles psychiques du genre de ceux qui sont apparus (ATF 125 V 456 consid. 5e). À l'examen de la jurisprudence du Tribunal fédéral (exemples peu nombreux), il apparaît que notre Haute Cour a ainsi refusé de reconnaître sous l'angle de l'assurance-accidents et comme conséquence d'une maladie professionnelle (initiale), une dépression apparue chez une assurée victime de harcèlement à son</w:t>
      </w:r>
    </w:p>
    <w:p>
      <w:r>
        <w:t>A/1404/2023 - 9/21 - nouveau poste de travail alors que ce changement d'emploi avait été imposé en raison d'une maladie professionnelle (asthme, allergies ; arrêt du Tribunal fédéral 8C_154/2010 du 16 août 2010 consid. 4), diverses phobies et un choc posttraumatique développés par un assuré en raison de deux chocs anaphylactiques graves survenus suite à une maladie professionnelle (multiples allergies, ATF 125 V 456 c. 5) ou encore divers troubles psychiques prétendument apparus suite à de l'arthrose dans le coude droit (arrêt du Tribunal fédéral 8C_620/2018 du 15 janvier 2019 consid. 4.3). 6.</w:t>
      </w:r>
    </w:p>
    <w:p>
      <w:r>
        <w:t>6.1 À titre liminaire, il convient de présenter le syndrome post-Covid ou Covid long, qui est une pathologie très récente et encore incomplètement comprise. Selon la définition donnée par l’Organisation mondiale de la santé, le 6 octobre 2021 (consensus de Delphi), une affection post-Covid-19 survient après une infection très probable ou avérée par le SARS-CoV-2, généralement trois mois après que le Covid-19 s’est déclaré. Ses symptômes durent au moins deux mois et ne peuvent pas être expliqués par un autre diagnostic. Les symptômes fréquents comprennent fatigue, essoufflement, troubles cognitifs, mais aussi d’autres problèmes qui retentissent sur la vie quotidienne. Ils peuvent réapparaître après la guérison d’un Covid-19 aigu ou perdurer au-delà de la durée de la maladie initiale. Ils peuvent être fluctuants ou récurrents. En mars 2022, le groupe de travail post-Covid-19 - Médecine d'assurance, de l’hôpital universitaire de Bâle, a établi un projet de recommandation pour le bilan de médecine d'assurance d’une affection post-Covid-19 en Suisse. Ce document a été soumis à l’assemblée annuelle de la Swiss insurance Medicine (SIM). Une deuxième version, intégrant les mises à jour scientifiques, a été publiée le</w:t>
      </w:r>
    </w:p>
    <w:p>
      <w:r>
        <w:rPr>
          <w:b/>
        </w:rPr>
        <w:t>E. 31</w:t>
      </w:r>
    </w:p>
    <w:p>
      <w:r>
        <w:t>juillet 2023. Il ressort des deux versions de recommandations que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 l’âge, le sexe, les maladies antérieures, mais aussi le variant du virus ; elle détermine l’évolution de la maladie et sa sévérité, sachant que des réinfections plus ou moins graves sont également possibles après la fin de la primo-infection. En conséquence, l’affection post-Covid-19 peut se manifester par des symptômes très divers. De ce fait, en</w:t>
      </w:r>
    </w:p>
    <w:p>
      <w:r>
        <w:t>A/1404/2023 - 10/21 - dehors de lésions organiques pour lesquelles elle peut être clairement incriminée, l’affection post-Covid-19 est encore incomplètement comprise et s’avère multifactorielle. Il est toutefois établi que des séquelles de l’affection post-Covid-19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 immune [chronique]), complications ORL (troubles aigus de l’odorat). 6.2 Les pathologies préexistantes, telles que par exemple l’asthme, la fatigue chronique, les céphalées, la dyspnée ou encore les myalgies, accroissent le risque d’affection post-Covid-19.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6.3 La CIM-11 comporte le code provisoire RA02, intitulé « Affection post- Covid-19 », dont il ressort que l’affection post-Covid-19 survient chez des personnes présentant des antécédents d’infection probable ou confirmée par le SARS-CoV-2, généralement trois mois après l’apparition du Covid-19 avec des symptômes qui persistent au moins deux mois et qui ne peuvent être expliqués par un autre diagnostic. Les symptômes courants comprennent la fatigue, l’essoufflement, un dysfonctionnement cognitif mais aussi d’autres symptômes qui ont généralement un impact sur le fonctionnement quotidien. Les symptômes peuvent être d’apparition nouvelle après un rétablissement initial à la suite d’un épisode de Covid-19 aigu, ou persister depuis la maladie initiale. Les symptômes peuvent également fluctuer ou récidiver au fil du temps.</w:t>
      </w:r>
    </w:p>
    <w:p>
      <w:r>
        <w:t>A/1404/2023 - 11/21 - 7.</w:t>
      </w:r>
    </w:p>
    <w:p>
      <w:r>
        <w:t>7.1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7.2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7.2.1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7.2.2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w:t>
      </w:r>
    </w:p>
    <w:p>
      <w:r>
        <w:t>A/1404/2023 - 12/21 -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7.2.3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7.3 En matière de Covid long, le Groupe de travail post-Covid-19 recommande de faire la distinction entre les cas présentant des complications d'organe avérées (typiquement après avoir développé une forme grave de Covid-19) et les cas où la fatigue, le malaise post-effort (MPE, soit une aggravation ou la réapparition des symptômes après un effort ou un surmenage physique ou mental) et les troubles cognitifs sont au premier plan (typiquement après avoir développé une forme légère de Covid-19).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post-effort et de troubles cognitifs, après une forme de Covid-19 légère à a +.éventuellement modérée, doivent faire l'objet d'un diagnostic différentiel méticuleux par un expert afin d'évaluer la causalité, le degré de gravité et donc la capacité de travail, ainsi que les options thérapeutiques. Le groupe de travail recommande donc un bilan interdisciplinaire, adossé au questionnaire EPOCA, composé d'une expertise de base et d'expertises</w:t>
      </w:r>
    </w:p>
    <w:p>
      <w:r>
        <w:t>A/1404/2023 - 13/21 - complémentaires éventuelles pour les différents symptômes spécifiques (organes affectés) ainsi que d'une anamnèse liée au poste de travail, réalisée par un tiers. Si les symptômes persistent pendant plus de douze mois (ou en cas de convalescence après une forme grave, après la fin des mesures thérapeutiques), le groupe de travail préconise une expertise de base en médecine interne/infectiologie et en neurologie/neuropsychologie. Selon les autres symptômes et troubles cardinaux, des spécialistes en pneumologie, rhumatologie, cardiologie, ORL ou psychiatrie peuvent être consultés si nécessaire, en vue de compléter l’exploration dans le cadre de l’expertise en fonction des symptômes. Ces spécialistes doivent utiliser, pour l’examen des symptômes post-Covid-19, des instruments bien établis, sensibles et spécifiques, instruments servant à vérifier objectivement la plausibilité des troubles dans le cas d’espèce et à déterminer le degré de sévérité des restrictions. Les recommandations décrivent la procédure d’expertise comme suit :</w:t>
      </w:r>
    </w:p>
    <w:p>
      <w:r>
        <w:t>8.</w:t>
      </w:r>
    </w:p>
    <w:p>
      <w:r>
        <w:t>8.1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w:t>
      </w:r>
    </w:p>
    <w:p>
      <w:r>
        <w:t>A/1404/2023 - 14/21 - selon lequel l’administration ou le juge devrait statuer, dans le doute, en faveur de l’assuré (ATF 135 V 39 consid. 6.1 et la référence). 8.2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8.3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w:t>
      </w:r>
    </w:p>
    <w:p>
      <w:r>
        <w:t>A/1404/2023 - 15/21 -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8.4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Le renvoi à l’administration apparaît également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9.</w:t>
      </w:r>
    </w:p>
    <w:p>
      <w:r>
        <w:t>9.1 En l’espèce, il n’est pas contesté par les parties que la recourante souffre d’une maladie professionnelle, depuis le 11 décembre 2020, à savoir, dans un premier temps, d’une infection au Covid-19 en tant que telle et, par la suite, d’un Covid long. En particulier, les parties ont admis que le Covid-19, que la recourante a contracté en décembre 2020, était dû, exclusivement ou de manière prépondérante</w:t>
      </w:r>
    </w:p>
    <w:p>
      <w:r>
        <w:t>A/1404/2023 - 16/21 - (50% au moins), dans l’exercice de son activité professionnelle, à certains travaux énumérés dans l’annexe 1 OLAA. La question de l’existence d’une maladie professionnelle n’est donc pas contestée dans le cas d’espèce. Seul est litigieux le droit aux prestations au-delà du 30 mars 2022. En effet, l’intimée a mis un terme au versement des indemnités journalières et à la prise en charge du traitement médical à cette date en se fondant sur une expertise pluridisciplinaire réalisée par le C______ en date du 7 juillet 2022, au motif que les troubles encore présentés par la recourante étaient désormais en lien avec des atteintes préexistantes et non plus avec la maladie professionnelle contractée par la recourante en décembre 2020. En d’autres termes, l’assurance intimée a considéré qu’à tout le moins en mars 2022, le statu quo sine avait été atteint, soit que l’état de santé de la recourante était similaire à celui qui serait survenu tôt ou tard même sans la maladie professionnelle par suite d'un développement ordinaire. À l'opposé, la recourante conteste la suppression des prestations en arguant que les troubles dont elle souffre font toujours partie du tableau du syndrome post- Covid, de sorte qu’ils sont encore liés à la maladie professionnelle. En d’autres termes, elle conclut à la persistance du lien de causalité naturelle au-delà du 30 mars 2022. Dans la mesure où l’intimée fonde sa décision de suppression sur le rapport du C______ du 7 juillet 2022, c’est la valeur probante de ce document que la chambre de céans doit examiner pour se prononcer sur le bien-fondé de la décision querellée. 9.2 Si le rapport précité répond effectivement à plusieurs des réquisits jurisprudentiels en matière de valeur probante, la chambre de céans ne saurait malgré tout s’y référer pour examiner le bien-fondé de la décision sur opposition querellée, comme cela ressort des considérations qui suivent. 9.2.1 La chambre de céans s’étonne tout d’abord de la structure de l’expertise du C______, laquelle correspond aux standards habituels mais non pas aux recommandations en matière de Covid-19. En effet, le groupe de travail ad hoc préconise, tout d’abord, un bilan en médecine interne/infectiologie, lequel sert à confirmer le diagnostic en tenant compte des diagnostics différentiels d'autres causes, à relever l’anamnèse détaillée de la maladie et des symptômes, à discerner les symptômes consécutifs aux lésions directes des organes, à identifier les autres disciplines éventuellement nécessaires (p. ex. cardiologie, pneumologie) et à établir la plausibilité, l’origine et l’intégration des autres résultats des examens, du point de vue virologique et infectieux. Or, si l’expertise du C______ comporte, certes, un volet en médecine interne, elle ne comprend aucune partie en infectiologie.</w:t>
      </w:r>
    </w:p>
    <w:p>
      <w:r>
        <w:t>A/1404/2023 - 17/21 - Le groupe de travail ad hoc recommande ensuite un volet pneumologique, en cas de dyspnée prolongée. Or, il ressort du dossier que la recourante présente justement une dyspnée, notamment à l’effort. On peut également se poser la question d’un volet rhumatologique, en présence de critères diagnostiques de la fibromyalgie, ce qui est le cas de la recourante (12 points sur 18 retenus par le Dr E______), sachant qu’une étude de 2021 a révélé qu’environ 30% des patients et patientes atteints d’un Covid long répondent aux critères de la fibromyalgie (recommandations de 2023, p. 9). 9.2.2 Sur le fond, s’agissant tout d’abord, de l’aspect de médecine interne, les experts ont retenu les diagnostics suivants : symptômes persistants après infection SARS-Cov-2 en décembre 2020, status après embolie pulmonaire en décembre 2020, antécédents de thrombose veineuse jambière en 2009 et 2019, obésité de classe 2 (38.5 kg/m2). Les experts ont plus particulièrement relevé que la recourante avait contracté le Covid-19 en décembre 2020. Cette infection s’était compliquée par une vraisemblable embolie pulmonaire sous-segmentaire non compliquée, dont l’évolution avait immédiatement été favorable sous anticoagulation thérapeutique et sans séquelle. L’anticoagulation était justifiée pendant six mois. Au-delà, elle était dictée par les facteurs de risques constitués par l’obésité et les antécédents thrombotiques. L’embolie pulmonaire avait pu justifier une incapacité de travail de quelques semaines. Par la suite, la recourante avait développé une symptomatologie de fatigue, intolérance aux efforts, douleurs ubiquitaires, céphalées de type tensionnel, troubles émotionnels voire dépressifs ainsi que cognitifs. Au vu des études médicales en la matière, il était raisonnable d’admettre qu’à tout le moins une partie de ces symptômes était compatible avec le syndrome post-Covid. Toutefois, au-delà d’un an, l’appréciation se compliquait avec une aggravation après le vaccin en septembre 2020, et surtout après le rappel de février 2022. Cette aggravation subjective n’était pas vraiment expliquée, les plaintes émises, lesquelles étaient à l’origine de multiples prises en charge, restaient incomprises, sans substrat organique décelable. La chambre de céans ne saurait suivre les experts. En effet, alors même qu’ils admettent que les symptômes post-Covid 19 peuvent persister, dans 30% des cas, douze mois après l’infection, ils estiment, sans la moindre explication médicale circonstanciée ou référence scientifique, que dans le cas de la recourante, le lien de causalité n’était donné que pendant douze mois. Cette constatation péremptoire, sans justification médicale, est d’ailleurs contredite par la récente Recommandation pour le bilan de médecine d’assurance d’une affection post-Covid 19 en Suisse (Version 2.0), état au 21 juillet 2023, laquelle intègre les dernières statistiques en matière de Covid-19. Or, il ressort justement de ce document qu’« un pourcentage considérable présente toujours des symptômes plus d’un an après l’infection » (recommandation p. 3) et que « selon deux études suisses, entre 15% et 33% des personnes concernées signalent avoir</w:t>
      </w:r>
    </w:p>
    <w:p>
      <w:r>
        <w:t>A/1404/2023 - 18/21 - encore des problèmes de santé persistants plus d’un an après l’infection (…) » (recommandation p. 4). Le fait que les symptômes persistants au-delà d’un an ne touchent qu’une minorité des malades ne permet pas, à lui seul et sans la moindre explication médicale concrète, de nier le lien de causalité dans le cas de la recourante. Cette seule critique permet déjà de remettre en cause la valeur probante du rapport du C______. 9.2.3 Les experts ont également considéré qu’après un an, l’appréciation se compliquait avec une aggravation après le vaccin en septembre 2020 et surtout après le rappel de février 2022, aggravation subjective qui n’était pas vraiment expliquée ; les plaintes émises, lesquelles étaient à l’origine de multiples prises en charge, restant incomprises, sans substrat organique décelable. En d’autres termes, les experts laissent sous-entendre que le lien de causalité naturelle n’est plus donné faute de troubles objectivables. C’est le lieu de rappeler, dans ce cadre, que l’assureur-accidents doit également prester en présence d’une atteinte non objectivable, pour autant que les liens de causalité naturelle et adéquate soient réalisés. Compte tenu de la nature particulière du Covid long, et en particulier du fait qu’aucun substrat organique n’est retrouvé dans la plupart des cas, les experts ne pouvaient simplement retenir un diagnostic psychique, tel que celui de troubles de détresse physique et de l’expérience corporelle (6C20.2 ; anciennement majoration des symptômes) et insinuer que la recourante se maintenait dans la croyance de souffrir d’un Covid long (cf. expertise p. 31) et nier de la sorte le lien de causalité naturelle avec l’atteinte initiale. 9.2.4 Comme indiqué précédemment, sur le plan psychique, les experts ont retenu un trouble à symptomatologie somatique et de l’expérience corporelle/syndrome physique grave (6C20.2 de la CIM-11). L’origine du trouble psychique était plurifactorielle : insatisfaction professionnelle (épuisement professionnel, mauvaises conditions de travail, révolte par rapport au harcèlement professionnel des responsables sur certaines collègues), fait d’être convaincue d’avoir été contaminée par le Covid-19 au travail et sentiment d’injustice de devoir justifier le besoin de soins auprès de l’assurance-accidents. Force est toutefois de constater que le dossier ne comporte aucune description de l’activité professionnelle, ni des conditions dans lesquelles elle était exercée par la recourante, si ce n’est qu’en décembre 2020, l’équipe était en sous-effectif (expertise p. 9) et que la recourante avait consulté un psychiatre à une reprise, en 2020, dans le contexte d’une souffrance sur son lieu de travail (expertise p. 9), sans plus de précisions. On ne connaît ainsi pas exactement les motifs pour lesquels un psychiatre a été consulté, ni les reproches qui étaient formulés à l’encontre de son employeur, étant rappelé que l’année 2020 a été une année particulièrement compliquée pour les métiers médicaux, avec la pandémie.</w:t>
      </w:r>
    </w:p>
    <w:p>
      <w:r>
        <w:t>A/1404/2023 - 19/21 - L’expertise est par conséquent lacunaire sur ce point également. C’est le lieu de relever que la notion du lien de causalité naturelle entre l'accident et l'atteinte, prédominant en matière médicale, ne se recoupe pas avec celle du domaine juridique, où une causalité partielle suffit à fonder l'obligation de prester de l'assureur-accidents (arrêt du Tribunal fédéral U 177/02 du 15 juin 2004 consid. 5.2.1). 9.2.5 Sur le plan neuropsychologique, les experts ont retenu des troubles neuropsychologiques minimaux, selon la classification de l’Association suisse des neuropsychologues, non incapacitants. Au vu des conclusions de Madame H______, psychologue spécialisée en neuropsychologie FSP du 18 mai 2022, laquelle a retenu que les performances de la recourante étaient globalement dans la norme, dans l’ensemble des épreuves administrées, rien ne permet de remettre en question l’aspect neuropsychologique de l’expertise, quoi qu’en dise la recourante dans ses écritures. 9.3 Les experts évoquent également de nombreuses contradictions anamnestiques concernant l’état antérieur. En effet, la recourante aurait déclaré qu’avant l’infection au Covid-19, elle jouissait d’une excellente santé, laquelle s’était dégradée depuis l’infection. Or, il ressortait du dossier qu’elle avait consulté un psychiatre en août 2020, dans un contexte de sentiment d’épuisement et de mobbing au travail, qu’elle avait bénéficié d’une échographie cardiaque en 2018, pour des raisons inconnues, qu’elle avait présenté des épisodes de sciatalgies et qu’une IRM du rachis avait été pratiquée par le passé. Toute personne consulte ponctuellement un médecin. Cela ne signifie pas encore que sa santé est mauvaise. Il n’en va pas différemment de la recourante, ce d’autant moins qu’aucun rapport relatif aux actes médicaux susmentionnés ne figure au dossier. Les experts évoquent également des éléments psycho-sociaux paraissant devenir prédominants au cours du temps, sans toutefois les décrire. 9.4 Les experts évoquent notamment une fragilité préexistante au Covid avec une notion d’épuisement en août 2020 et des rachialgies. Or, conformément à la jurisprudence, lorsqu'un état maladif préexistant est aggravé ou, de manière générale, apparaît consécutivement à un accident et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De toute évidence, les experts n’ont pas examiné cet aspect.</w:t>
      </w:r>
    </w:p>
    <w:p>
      <w:r>
        <w:t>A/1404/2023 - 20/21 - 9.5 Enfin, la chambre de céans relèvera encore que le rapport du C______ du 7 juillet 2022 a été soumis au SMR, lequel a constaté, dans son avis du 21 février 2023, antérieur à la décision litigieuse, certaines lacunes : « le manque de spécificité de la structure de l’expertise par rapport à la pathologie COVID Long dont il est reconnu que la majorité des symptômes [est] ‘sans substrat organique’ (consensus de Delhi [recte Delphi] octobre 2021), l’évolution peut se dérouler de façon très différente (par poussée, progressivement résolutive, rémittente etc), avec parfois un début retardé, la durée d’une année à l’heure actuelle n’est plus dirimante et le dépistage serait à formaliser par le biais d’un questionnement ciblé (questionnaire EPOCA). De plus l’attitude possiblement revanchiste de l’assurée, avec une majoration des symptômes, visant inconsciemment (la simulation a été exclue) la reconnaissance d’un statut de malade, n’exclut par la maladie en elle-même (ou une maladie autre) ». 10. Pour toutes ces raisons, l’expertise du C______ ne saurait se voir revêtir une pleine valeur probante et la chambre de céans ne saurait s’y fier pour examiner le bien-fondé de l’assurance intimée de mettre un terme à ses prestations avec effet au 30 mars 2022, faute de lien de causalité naturelle. Dans ces circonstances, la chambre de céans n’est pas en mesure de se prononcer de manière définitive sur la question de la persistance – ou non – du lien de causalité naturelle entre la maladie professionnelle survenue en décembre 2020 et les troubles présentés par la recourante au-delà du 30 mars 2022, singulièrement sur la date d’un éventuel retour à un statu quo. Force est ainsi de considérer que l’intimée a constaté les faits de manière sommaire, sur la base d’une expertise, dont même le SMR a nié la valeur probante, faute pour celle-ci de respecter la Recommandation pour le bilan de médecine d’assurance d’une affection post-Covid-19 en Suisse. Dans de telles circonstances, il n’appartient pas au juge de suppléer aux carences administratives, de sorte que le dossier sera renvoyé à l’intimée pour instruction complémentaire sous la forme d’une expertise. 11. Au vu de ce qui précède, le recours sera admis partiellement et la décision sur opposition du 8 mars 2023 sera annulée. La cause sera renvoyée à l’intimée pour instruction complémentaire sous la forme d’une expertise, réalisée par des médecins ayant acquis une connaissance certaine en matière de Covid long et répondant à la Recommandation pour le bilan de médecine d’assurance d’une affection post-Covid-19 en Suisse, et nouvelle décision. 12. La recourante obtenant partiellement gain de cause et étant assistée d’un avocat, une indemnité de CHF 1'500.- lui sera accordée, à titre de participation à ses frais et dépens (art. 61 let. g LPGA). 13. Pour le surplus, la procédure est gratuite (art. 61 let. fbis LPGA).</w:t>
      </w:r>
    </w:p>
    <w:p>
      <w:r>
        <w:t>A/1404/2023 - 21/21 -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