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ATAS/984/2018 vom 30. Oktober 2018</w:t>
      </w:r>
    </w:p>
    <w:p>
      <w:r>
        <w:t>GE Cour de justice, 2018-10-30, FR</w:t>
      </w:r>
    </w:p>
    <w:p>
      <w:r>
        <w:rPr>
          <w:b/>
        </w:rPr>
        <w:t xml:space="preserve">Quelle: </w:t>
      </w:r>
      <w:r>
        <w:t>https://mcp.opencaselaw.ch/entscheid/ge_gerichte_ATAS_984_2018</w:t>
      </w:r>
    </w:p>
    <w:p>
      <w:r>
        <w:t>FR: GE_GERICHTE ATAS/984/2018 du 30 octobre 2018</w:t>
      </w:r>
    </w:p>
    <w:p>
      <w:r>
        <w:t>IT: GE_GERICHTE ATAS/984/2018 del 30 ottobre 2018</w:t>
      </w:r>
    </w:p>
    <w:p>
      <w:pPr>
        <w:pStyle w:val="Heading2"/>
      </w:pPr>
      <w:r>
        <w:t>Erwägungen</w:t>
      </w:r>
    </w:p>
    <w:p>
      <w:r>
        <w:rPr>
          <w:b/>
        </w:rPr>
        <w:t>E. 1</w:t>
      </w:r>
    </w:p>
    <w:p>
      <w:r>
        <w:t>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Le recours a été interjeté en temps utile (art. 60 LPGA). Il satisfait aux exigences, peu élevées, de forme et de contenu prévues par la loi (art. 61 let. b LPGA ; cf. aussi art. 89B de la loi sur la procédure administrative du 12 septembre 1985 - LPA - E 5 10). Ayant été partie à la procédure ayant abouti à la décision attaquée, étant touchée par cette dernière et ayant un intérêt digne de protection à son annulation ou sa modification, la recourante a qualité pour recourir (art. 59 LPGA). Le recours est donc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c/aa.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c/bb.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w:t>
      </w:r>
    </w:p>
    <w:p>
      <w:r>
        <w:t>A/206/2018 - 9/15 - été établis en pleine connaissance de l’anamnèse, décrivent clairement le contexte médical et les éventuelles interférences, et enfin contiennent des conclusions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w:t>
      </w:r>
    </w:p>
    <w:p>
      <w:r>
        <w:t>A/206/2018 - 10/15 -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c/cc.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3</w:t>
      </w:r>
    </w:p>
    <w:p>
      <w:r>
        <w:t>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 l’espèce, s’agissant de la LAI, le droit applicable est le droit actuellement en vigueur, résultant de la dernière révision de la LAI, dite 6a du 18 mars 2011, entrée en vigueur le 1er janvier 2012. Au demeurant, cette révision-ci de la LAI, de même que ses précédentes révisions (la 5ème révision, du 6 octobre 2006, entrée en vigueur le 1er janvier 2008, et la 4ème révision, du 21 mars 2003, entrée en vigueur le 1er janvier 2004), n’ont pas amené de modifications substantielles en particulier en matière d'évaluation de l'invalidité, qui est la question ici litigieuse (arrêt du Tribunal fédéral des assurances I.249/05 du 11 juillet 2006 consid. 2.1 et Message</w:t>
      </w:r>
    </w:p>
    <w:p>
      <w:r>
        <w:t>A/206/2018 - 11/15 -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litige porte sur la question de savoir si la recourante peut être mis au bénéfice d’une rente d’invalidité au-delà du 30 avril 2017, étant précisé qu’elle ne conteste pas l’octroi d’une demi-rente d’invalidité, fondée sur un degré d’invalidité de 50 %, pour la période du 1er mars 2016 au 30 avril 2017, et qu’elle ne requiert par ailleurs pas de mesures d’ordre professionnel.</w:t>
      </w:r>
    </w:p>
    <w:p>
      <w:r>
        <w:rPr>
          <w:b/>
        </w:rPr>
        <w:t>E. 5</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 à 49 %, de 50 % à 59 %, de 60 %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ainsi une notion économique (ATF 110 V 273 consid. 4a ; arrêt du Tribunal fédéral des assurances I 654/00 du 9 avril 2001 consid. 1 ;</w:t>
      </w:r>
    </w:p>
    <w:p>
      <w:r>
        <w:t>A/206/2018 - 12/15 - Pierre Yves GREBER, op. cit., vol. I, n. 156 ss, 160 ss), même si elle comprend un aspect médical important puisqu'elle doit résulter d'une atteinte à la santé physique, mentale ou psychique, attestée médicalement (consid. 2c). c. L’art. 17 al. 1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6</w:t>
      </w:r>
    </w:p>
    <w:p>
      <w:r>
        <w:t>a. En l’espèce, l’intimé s’est prononcé sur la base d’un rapport d’expertise psychiatrique, qui s’avère, sur le plan formel comme sur le plan matériel, satisfaire pleinement aux réquisits jurisprudentiels. Ce rapport relate en effet l’anamnèse, les plaintes et données subjectives de la recourante, décrit son statut physique et psychique, énonce les résultats des tests effectués ; il comporte une appréciation du cas et fournit des réponses claires aux questions pertinentes. Il a été établi après un examen de la recourante, qui a duré quasiment deux heures, et une étude du dossier médical de la recourante, dont rien ne vient faire suspecter qu’il n’était pas complet. b. C’est à raison que l’intimé n’a retenu, à titre d’atteintes à la santé le cas échéant invalidantes, que des troubles d’ordre psychiatrique, à l’exclusion de troubles somatiques. Ni l’experte, ni le SMR n’ont attribué un caractère invalidant aux atteintes somatiques de la recourante, sans que les médecins traitants de la recourante ne viennent contredire cette appréciation. Sans doute la recourante est-elle atteinte d’un diabète toutefois traité, d’une hypercholestérolémie, d’obésité, d’un syndrome du tunnel carpien bilatéral, mais rien n’atteste que ces affections limiteraient sa capacité de gain. De même, s’agissant de ses apnées du sommeil, force est de retenir qu’un appareillage correct pour le traiter n’entraîne pas, une fois</w:t>
      </w:r>
    </w:p>
    <w:p>
      <w:r>
        <w:t>A/206/2018 - 13/15 - l’adaptation effectuée, de limitations fonctionnelles, et qu’au surplus la recourante, qui doit pourtant avoir revu dans l’intervalle la pneumologue du Centre du sommeil, n’a produit aucun rapport dont il résulterait que ses apnées du sommeil seraient invalidantes. Quant à la cholécystite aiguë lithiasique que la recourante a eue en juillet 2017, elle a nécessité une ablation de la vésicule biliaire, opération par laparoscopie dont les suites ont été simples, et n’a justifié qu’une incapacité de travail de quinze jours. c. La seule divergence entre l’experte et le psychiatre traitant tient au taux de la capacité de travail que présente la recourante dès mai 2017. Alors que pour l’experte, ce taux est de 75 % dans toute activité professionnelle, il ne serait que de 50 % pour le psychiatre traitant. Ce dernier a toutefois lui-même relevé que les limitations fonctionnelles de la recourante tenaient surtout à une fatigue importante pouvant être en lien avec le syndrome des hypopnées obstructives du sommeil dont souffrait la recourante, dont il a toutefois été vu qu’elles ne doivent pas être tenues pour invalidantes. L’avis du psychiatre traitant quant au taux de l’incapacité de travail de la recourante présente un poids moindre non seulement parce qu’il émane d’un médecin se trouvant dans un rapport de confiance tendant naturellement à lui faire adopter un point de vue favorable à sa patiente, mais aussi parce qu’il ne s’appuie pas sur les critères de la classification reconnue dite CIM-10. Quant à elle, l’experte, qui a examiné la recourante le 9 mai 2017 durant près de deux heures, a relevé notamment qu’elle ne présentait pas de fatigabilité ou de ralentissement psychomoteur, avait un discours cohérent, sans trouble formel de la pensée. Dans les éléments florides de la lignée dépressive, elle n’avait pas objectivé un manque d’énergie, ni une difficulté à soutenir son attention et à se concentrer, mais un manque de confiance en soi, un sentiment de culpabilité et de dévalorisation, en plus d’une humeur abaissée relatée et d’une hypersomnie diurne et un sommeil non réparateur. Elle a retenu que le trouble dépressif récurrent diagnostiqué n’était plus que d’intensité légère, ainsi que le score de 14 points à l’échelle de dépression de Hamilton le confirmait. L’anxiété de la recourante était anticipatrice, avec un score de 22 points à l’échelle d’anxiété de Hamilton, traduisant une anxiété légère à modérée. La problématique majeure relevait d’un trouble de personnalité dépendante à traits anxieux. La recherche pour une anxiété généralisée, des attaques de panique, un état de stress post-traumatique, un trouble obsessionnel compulsif, un trouble affectif bipolaire ou une psychose était restée négative. L’experte a énuméré les limitations fonctionnelles qu’entraînaient les deux troubles diagnostiqués – à savoir une fragilité psychique, une difficulté à gérer les émotions et les pertes, une thymie fluctuante selon les évènements, une réduction de la tolérance au stress, une diminution des capacités adaptatives et d’apprentissage –, et elle a estimé qu’elles n’interféraient plus qu’à hauteur de 25 % dans la capacité de travail de la recourante. Des facteurs psychosociaux, le cadre de vie et le contexte financier jouaient un rôle défavorable sur la capacité de gain de la</w:t>
      </w:r>
    </w:p>
    <w:p>
      <w:r>
        <w:t>A/206/2018 - 14/15 - recourante ; il s’impose de relever à cet égard que de tels facteurs ne constituent pas des atteintes à la santé susceptibles d'entraîner une incapacité de gain au sens de l'art. 4 al. 1 LAI (ATF 127 V 294 consid. 5a in fine). d. Il n’y a pas d’indice concret permettant de douter du bien-fondé du rapport d’expertise et de ses conclusions. Il n’y a nullement matière à ordonner une nouvelle expertise. La chambre de céans retient qu’il est établi à satisfaction de droit, au degré de la vraisemblance prépondérante, que la capacité de travail de la recourante était bien de 25 % dès mai 2017.</w:t>
      </w:r>
    </w:p>
    <w:p>
      <w:r>
        <w:rPr>
          <w:b/>
        </w:rPr>
        <w:t>E. 7</w:t>
      </w:r>
    </w:p>
    <w:p>
      <w:r>
        <w:t>Il n’est au surplus pas contesté que les données comptables fournies par la recourante ne permettent pas de procéder à une comparaison des revenus fiables sans et avec invalidité pour déterminer son degré d’invalidité, et qu’en l’occurrence il se justifie de considérer que son degré de capacité de travail (en particulier 25 % dès mai 2017) correspond au degré de sa capacité de gain et, partant, à son degré d’invalidité pertinent. Or, un degré d’invalidité de 25 % est insuffisant pour fonder le droit à une rente d’invalidité, un taux minimal de 40 % étant requis à cette fin, n’ouvrant alors que le droit à un quart de rente (art. 28 al. 2 LAI). Aussi est-ce à juste titre que l’intimé a décidé de ne pas accorder de rente d’invalidité à la recourante au-delà de la période durant laquelle son taux d’invalidité ouvrait le droit à une telle rente (en l’espèce une demi-rente), autrement dit de mettre fin à cette dernière dès mai 2017.</w:t>
      </w:r>
    </w:p>
    <w:p>
      <w:r>
        <w:rPr>
          <w:b/>
        </w:rPr>
        <w:t>E. 8</w:t>
      </w:r>
    </w:p>
    <w:p>
      <w:r>
        <w:t>a. Le recours doit être rejeté. b. La procédure de recours en matière de contestation portant sur l’octroi ou le refus de prestations de l’AI étant soumise à des frais de justice, un émolument sera mis à la charge de la recourante, arrêté à son montant minimal de CHF 200.- (art. 69 al. 1 bis LAI). Aucune indemnité de procédure ne doit être allouée (art. 61 let. g LPGA). * * * * * *</w:t>
      </w:r>
    </w:p>
    <w:p>
      <w:r>
        <w:t>A/206/2018 - 15/15 -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