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ATAS/984/2014 vom 8. September 2014</w:t>
      </w:r>
    </w:p>
    <w:p>
      <w:r>
        <w:t>GE Cour de justice, 2014-09-08, FR</w:t>
      </w:r>
    </w:p>
    <w:p>
      <w:r>
        <w:rPr>
          <w:b/>
        </w:rPr>
        <w:t xml:space="preserve">Quelle: </w:t>
      </w:r>
      <w:r>
        <w:t>https://mcp.opencaselaw.ch/entscheid/ge_gerichte_ATAS_984_2014</w:t>
      </w:r>
    </w:p>
    <w:p>
      <w:r>
        <w:t>FR: GE_GERICHTE ATAS/984/2014 du 8 septembre 2014</w:t>
      </w:r>
    </w:p>
    <w:p>
      <w:r>
        <w:t>IT: GE_GERICHTE ATAS/984/2014 del 8 settembre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 du 18 mars 2010 et une décision de l'intimé du 9 janvier 2013,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que par les faits postérieurs à cette dernière date.</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A/543/2013 - 14/26 -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A/543/2013 - 15/26 -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w:t>
      </w:r>
    </w:p>
    <w:p>
      <w:r>
        <w:t>A/543/2013 - 16/26 -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w:t>
      </w:r>
    </w:p>
    <w:p>
      <w:r>
        <w:t>A/543/2013 - 17/26 -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A/543/2013 - 18/26 -</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w:t>
      </w:r>
    </w:p>
    <w:p>
      <w:r>
        <w:t>A/543/2013 - 19/26 -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w:t>
      </w:r>
    </w:p>
    <w:p>
      <w:r>
        <w:t>A/543/2013 - 20/26 -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w:t>
      </w:r>
    </w:p>
    <w:p>
      <w:r>
        <w:t>A/543/2013 - 21/26 -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w:t>
      </w:r>
    </w:p>
    <w:p>
      <w:r>
        <w:t>A/543/2013 - 22/26 -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w:t>
      </w:r>
    </w:p>
    <w:p>
      <w:r>
        <w:t>A/543/2013 - 23/26 -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rPr>
          <w:b/>
        </w:rPr>
        <w:t>E. 10</w:t>
      </w:r>
    </w:p>
    <w:p>
      <w:r>
        <w:t>En l’espèce, la chambre de céans a ordonné une expertise judiciaire auprès du Dr P______, lequel a rendu son rapport le 21 février 2014, complété les 19 mars et 1er juillet 2014. Cette expertise judiciaire, détaillée, complète et fondée sur des examens complémentaires, répond aux réquisits jurisprudentiels pour qu’il lui soit reconnu une pleine valeur probante, sous réserve de ce qui suit. Il convient en effet de relever que l’expert a varié dans l’appréciation de la capacité de travail de la recourante du point de vue psychique ; en procédant à une appréciation globale, tenant compte de l’aspect psychique, il a d’abord considéré que la capacité de travail réelle de la recourante était nulle depuis le 16 janvier 2010, en raison de la conjonction de troubles fonctionnels et psychiques (rapport du 21 février 2014), soit les limitations fonctionnelles objectivables, ostéo-articulaires et allergiques, qui empêchaient l’ancienne activité et les limitations psychiques (limitation de la persévérance, sentiment de dévalorisation, perte de confiance et fatigabilité), qui empêchaient l’investissement dans une activité adaptée. L’expert a ensuite précisé que les troubles non objectivables (la fatigue, la limitation d’endurance et de la concentration) réduisaient la capacité de travail à 50% (rapport des 19 mars 2014 et 1er juillet 2014). Toutefois, cet aspect, soit l’appréciation des limitations psychiques, sort du cadre de la mission d’expertise, laquelle était centrée sur la problématique rhumatologique, de sorte que cette incohérence n’a pas de conséquence sur la valeur probante du rapport d’expertise relativement aux atteintes rhumatologiques de la recourante. En effet, du point de vue rhumatologique, l’expert a clairement indiqué que la recourante présentait des limitations fonctionnelles objectivées qui l’empêchaient d’exercer son ancienne activité d’aide-ménagère mais lui permettaient d’exercer une activité adaptée à 100% (rapports des 20 février, 19 mars et 1er juillet 2014). Il convient ainsi de retenir la conclusion de l’expert selon laquelle, du point de vue rhumatologique, la recourante est capable d’exercer une activité adaptée à 100%. Par ailleurs, du point de vue psychique, aucun élément au dossier ne permet de remettre en cause les conclusions de l’expertise du CEMed du 24 avril 2012, selon lesquelles la recourante souffre d’un épisode dépressif léger, sans syndrome somatique et d’un syndrome douloureux somatoforme persistant qui n’empêchent pas l’exercice d’une activité à 100 %. La présence d’un tel syndrome est d’ailleurs confirmée par l’expert P______, lequel a exclu la présence d’une fibromyalgie.</w:t>
      </w:r>
    </w:p>
    <w:p>
      <w:r>
        <w:t>A/543/2013 - 24/26 - Dans le même sens, l’expertise du Dr I_____ du 14 octobre 2010 a estimé que l’atteinte psychique (épisode dépressif léger en cours de rémission et fibromyalgie) n’était pas invalidante. Quant au Dr G_____, il a attesté d’un suivi depuis le 26 février 2010, d’un état dépressif moyen, avec fibromyalgie (avis du 11 mars 2013) et d’une capacité de travail réduite à deux heures par jour. Cet avis, peu motivé, ne saurait cependant remettre en cause celui du CEMed. En toute hypothèse, la jurisprudence précitée assimile la fibromyalgie et le trouble somatoforme douloureux (ATF 132 V 65) et pose comme principe le fait qu’un état dépressif, même moyen, comme celui attesté par le Dr G_____, ne constitue en général pas une comorbidité pertinente mais est seulement considéré comme une manifestation réactive à la fibromyalgie ou au trouble somatoforme douloureux. Ainsi, même si l’on devait retenir l’état dépressif moyen attesté par le Dr G_____, celui-ci ne permettrait pas de reconnaître au trouble somatoforme douloureux de la recourante un caractère invalidant ; par ailleurs il n’apparaît pas que la présence d’autres critères jurisprudentiels déterminants permettent d’exclure, en l’espèce, l’exigibilité de la réintégration de la recourante dans le processus de travail (ATF 130 V 396), comme cela a été relevé par l’expertise du Dr I_____ et celle du Dr N______. Il convient dès lors de calculer le taux d’invalidité de la recourante en se fondant sur la capacité de travail totale de celle-ci, dans une activité adaptée, telle qu’attestée par l’expertise du Dr P______.</w:t>
      </w:r>
    </w:p>
    <w:p>
      <w:r>
        <w:rPr>
          <w:b/>
        </w:rPr>
        <w:t>E. 11</w:t>
      </w:r>
    </w:p>
    <w:p>
      <w:r>
        <w:t>Danse la décision litigieuse, l’intimé a retenu un statut mixte qui n’est pas contesté par la recourante. Il a fixé un revenu d’invalide fondé sur l’ESS 2010, TA1, niveau 4, tous secteurs confondus, avec une déduction de 10%, ce qui correspond à une activité adaptée soit qui respecte les limitations fonctionnelles fixées par le Dr P______. Ce calcul n’est pas non plus contesté par la recourante, sous réserve de l’abattement de 10%. Or, comme l’a relevé l’intimé, même si celui-ci était porté à 25%, le taux d’invalidité n’ouvrirait pas droit à une rente d’invalidité. S’agissant de la sphère ménagère, la recourante allègue qu’elle présente une invalidité ménagère de 80%. Cependant, aucun élément médical ne permet de remettre en cause l’enquête ménagère du 12 septembre 2012, en particulier au vu des atteintes rhumatologiques et psychiatriques retenues, lesquelles autorisent l’exercice d’une activité adaptée à 100 %.</w:t>
      </w:r>
    </w:p>
    <w:p>
      <w:r>
        <w:rPr>
          <w:b/>
        </w:rPr>
        <w:t>E. 12</w:t>
      </w:r>
    </w:p>
    <w:p>
      <w:r>
        <w:t>Enfin, par appréciation anticipée des preuves (ATF 131 I 153), il sera renoncé à l’audition du Dr P______, son rapport d’expertise et ses compléments permettant à la chambre de céans de se prononcer en toute connaissance de cause, étant relevé que la recourante a requis l’audition de l’expert afin qu’il se prononce sur sa</w:t>
      </w:r>
    </w:p>
    <w:p>
      <w:r>
        <w:t>A/543/2013 - 25/26 - capacité de travail sur le plan psychique, ce qui, comme il a été relevé ci-avant, n’est pas pertinent dans le cadre d’une expertise rhumatologique.</w:t>
      </w:r>
    </w:p>
    <w:p>
      <w:r>
        <w:rPr>
          <w:b/>
        </w:rPr>
        <w:t>E. 13</w:t>
      </w:r>
    </w:p>
    <w:p>
      <w:r>
        <w:t>Au vu de ce qui précède, le recours ne peut qu’être rejeté.</w:t>
      </w:r>
    </w:p>
    <w:p>
      <w:r>
        <w:rPr>
          <w:b/>
        </w:rPr>
        <w:t>E. 14</w:t>
      </w:r>
    </w:p>
    <w:p>
      <w:r>
        <w:t>Un émolument de justice de CHF 200.- sera mis à la charge de la recourante.</w:t>
      </w:r>
    </w:p>
    <w:p>
      <w:r>
        <w:t>A/543/2013 - 26/26 -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