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ATAS/984/2011 vom 20. Oktober 2011</w:t>
      </w:r>
    </w:p>
    <w:p>
      <w:r>
        <w:t>GE Cour de justice, 2011-10-20, FR</w:t>
      </w:r>
    </w:p>
    <w:p>
      <w:r>
        <w:rPr>
          <w:b/>
        </w:rPr>
        <w:t xml:space="preserve">Quelle: </w:t>
      </w:r>
      <w:r>
        <w:t>https://mcp.opencaselaw.ch/entscheid/ge_gerichte_ATAS_984_2011</w:t>
      </w:r>
    </w:p>
    <w:p>
      <w:r>
        <w:t>FR: GE_GERICHTE ATAS/984/2011 du 20 octobre 2011</w:t>
      </w:r>
    </w:p>
    <w:p>
      <w:r>
        <w:t>IT: GE_GERICHTE ATAS/984/2011 del 20 ottobre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incapacité de travail débutée le 12 novembre 2009 et une demande de prestation du 24 juin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la Chambre des assurances sociales de la Cour de justice du canton de l'office qui a rendu la décision. b) En l'espèce, l'OCAI a communiqué à l'assuré un projet de décision en date du 14 janvier 2011, qui a été confirmé par la décision du 23 février 2011, contre laquelle l'assurée a interjeté directement recours devant la Cour de céans le 30 mars 2011.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w:t>
      </w:r>
    </w:p>
    <w:p>
      <w:r>
        <w:t>A/920/2011 - 9/19 -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w:t>
      </w:r>
    </w:p>
    <w:p>
      <w:r>
        <w:t>A/920/2011 - 10/19 -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w:t>
      </w:r>
    </w:p>
    <w:p>
      <w:r>
        <w:t>A/920/2011 - 11/19 -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D'après la jurisprudence (ATF 131 V 49 consid. 1.2), la reconnaissance de l'existence d'une atteinte à la santé psychique, soit aussi de troubles somatoformes</w:t>
      </w:r>
    </w:p>
    <w:p>
      <w:r>
        <w:t>A/920/2011 - 12/19 -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A/920/2011 - 13/19 -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w:t>
      </w:r>
    </w:p>
    <w:p>
      <w:r>
        <w:t>A/920/2011 - 14/19 -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A/920/2011 - 15/19 -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w:t>
      </w:r>
    </w:p>
    <w:p>
      <w:r>
        <w:t>A/920/2011 - 16/19 -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l'examen SMR psychiatrique a conclu à une dysthymie qui n'était pas incapacitante et un syndrome somatoforme douloureux persistant qui n'était pas invalidant. Du point de vue rhumatologique, la recourante présentait des rachialgies diffuses dans le cadre de discrets troubles statiques du rachis qui n'étaient pas incapacitantes. A la suite de ce rapport, les Drs Q____________ et W____________ ont rendu, chacun, à la demande de la Cour de céans, un avis médical circonstancié concluant à une incapacité de travail de la recourante de 50 %. En présence d'avis psychiatriques divergents, il convient donc d'ordonner une expertise psychiatrie, laquelle sera confiée au Dr A____________, FMH psychiatrie et psychothérapie, , expertise psychiatrique CMU, à Genève .</w:t>
      </w:r>
    </w:p>
    <w:p>
      <w:r>
        <w:t>A/920/2011 - 17/19 - PAR CES MOTIFS, LA CHAMBRE DES ASSURANCES SOCIALES : Statuant A la forme : 1. Déclare le recours recevable ; Préparatoirement : 2. Ordonne une expertise médicale. La confie au Dr A____________. Dit que la mission d’expertise sera la suivante : a. Prendre connaissance du dossier de la cause. b. Si nécessaire prendre tous renseignements auprès des médecins ayant traité Mme O____________. c. Examiner Mme O____________. d. Etablir un rapport détaillé et répondre aux questions suivantes: e. Quelle est l’anamnèse détaillée du cas ? f. Quel est le status détaillé et l'évolution du status depuis le début de l'atteinte ? g. Quelle est l’atteinte à la santé dont souffre Mme O____________ d’un point de vue psychiatrique ? h. En cas de trouble psychique :</w:t>
      </w:r>
    </w:p>
    <w:p>
      <w:r>
        <w:t>- Quel est le degré de gravité de celui-ci ?</w:t>
      </w:r>
    </w:p>
    <w:p>
      <w:r>
        <w:t>- Depuis quelle date est-il présent chez Mme O____________ ?</w:t>
      </w:r>
    </w:p>
    <w:p>
      <w:r>
        <w:t>- Comment a-t-il évolué ?</w:t>
      </w:r>
    </w:p>
    <w:p>
      <w:r>
        <w:t>- Quel traitement est-il indiqué ? Mme O____________ suit-elle un traitement adéquat ?</w:t>
      </w:r>
    </w:p>
    <w:p>
      <w:r>
        <w:t>- Y a-t-il une amélioration possible à court/moyen terme ? i. Existe-t-il un diagnostic de trouble somatoforme douloureux ou de fibromyalgie ? Si oui :</w:t>
      </w:r>
    </w:p>
    <w:p>
      <w:r>
        <w:t>A/920/2011 - 18/19 -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 − Mme O____________ subit-elle une perte d’intégration sociale au sens du considérant 10 d) et, cas échéant, dans quelle mesure et de quelle manière ? − Existe-t-il chez Mme O____________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Mme O____________ qu’elle mette en œuvre toute sa volonté pour surmonter ses douleurs et réintégrer le monde du travail ? − En d’autres termes, Mme O____________ dispose-t-elle et si oui dans quelle mesure de ressources psychiques lui permettant de surmonter ses douleurs aux fins d’exercer une activité lucrative ? j. Compte tenu de votre diagnostic, l’assurée pourrait-elle exercer une activité lucrative ? Si oui, laquelle ? A quel taux ? Depuis quelle date ? Quel est votre pronostic quant à l’exigibilité de la reprise d’une activité lucrative ? Si non ou dans une mesure restreinte, pour quels motifs ? k. Quelles sont les limitations fonctionnelles qui entrent en ligne de compte ? l. Etes-vous d'accord avec l'avis du SMR (rapport bidisciplinaire rhumatologique et psychiatrique du 20 décembre 2010) en particulier avec les diagnostics posés et la conclusion d'une capacité de travail totale de Mme O____________ depuis octobre 2009 ? Si non pour quels motifs ? m. Etes-vous d'accord avec l'avis du Dr Q____________ du 23 mai 2011 ? Si non, pour quels motifs ?</w:t>
      </w:r>
    </w:p>
    <w:p>
      <w:r>
        <w:t>A/920/2011 - 19/19 - n. Etes-vous d'accord avec l'avis du Dr W____________ (clinique genevoise de Montana) du 23 novembre 2011 ? Si non, pour quels motifs ? o. Etes-vous d'accord avec les avis du SMR des 20 juin 2011 et 5 septembre 2011 ? si non, pour quels motifs ? p. Au vu du dossier, votre réponse aux questions susmentionnées aurait-elle été identique à la date de la décision rendue par l’Office cantonal de l’assurance- invalidité, soit le 23 février 2011 ? Si non, pourquoi et quelles sont les réponses qui varient ? Si oui, pourquoi ? q. Des mesures de réadaptation professionnelle sont-elles envisageables ? r.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